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A1C1E" w14:textId="73548950" w:rsidR="00DC5B1F" w:rsidRDefault="00DC5B1F" w:rsidP="00DC5B1F">
      <w:pPr>
        <w:pStyle w:val="Title"/>
        <w:jc w:val="center"/>
        <w:rPr>
          <w:rFonts w:eastAsia="Times New Roman"/>
          <w:lang w:val="en" w:eastAsia="en-AU"/>
        </w:rPr>
      </w:pPr>
    </w:p>
    <w:p w14:paraId="02B8CC95" w14:textId="77777777" w:rsidR="00DC5B1F" w:rsidRDefault="00DC5B1F" w:rsidP="00DC5B1F">
      <w:pPr>
        <w:pStyle w:val="Title"/>
        <w:jc w:val="center"/>
        <w:rPr>
          <w:rFonts w:eastAsia="Times New Roman"/>
          <w:lang w:val="en" w:eastAsia="en-AU"/>
        </w:rPr>
      </w:pPr>
    </w:p>
    <w:p w14:paraId="71DAA91D" w14:textId="77777777" w:rsidR="00DC5B1F" w:rsidRDefault="00DC5B1F" w:rsidP="00DC5B1F">
      <w:pPr>
        <w:pStyle w:val="Title"/>
        <w:jc w:val="center"/>
        <w:rPr>
          <w:rFonts w:eastAsia="Times New Roman"/>
          <w:lang w:val="en" w:eastAsia="en-AU"/>
        </w:rPr>
      </w:pPr>
    </w:p>
    <w:p w14:paraId="6E91CA9D" w14:textId="77777777" w:rsidR="00DC5B1F" w:rsidRDefault="00DC5B1F" w:rsidP="00DC5B1F">
      <w:pPr>
        <w:pStyle w:val="Title"/>
        <w:jc w:val="center"/>
        <w:rPr>
          <w:rFonts w:eastAsia="Times New Roman"/>
          <w:lang w:val="en" w:eastAsia="en-AU"/>
        </w:rPr>
      </w:pPr>
    </w:p>
    <w:p w14:paraId="09B9F509" w14:textId="77777777" w:rsidR="00DC5B1F" w:rsidRDefault="00DC5B1F" w:rsidP="00DC5B1F">
      <w:pPr>
        <w:pStyle w:val="Title"/>
        <w:jc w:val="center"/>
        <w:rPr>
          <w:rFonts w:eastAsia="Times New Roman"/>
          <w:lang w:val="en" w:eastAsia="en-AU"/>
        </w:rPr>
      </w:pPr>
    </w:p>
    <w:p w14:paraId="3C2D92B9" w14:textId="77777777" w:rsidR="00DC5B1F" w:rsidRDefault="00DC5B1F" w:rsidP="00DC5B1F">
      <w:pPr>
        <w:pStyle w:val="Title"/>
        <w:jc w:val="center"/>
        <w:rPr>
          <w:rFonts w:eastAsia="Times New Roman"/>
          <w:lang w:val="en" w:eastAsia="en-AU"/>
        </w:rPr>
      </w:pPr>
    </w:p>
    <w:p w14:paraId="5240BABF" w14:textId="77777777" w:rsidR="00DC5B1F" w:rsidRDefault="00DC5B1F" w:rsidP="00DC5B1F">
      <w:pPr>
        <w:pStyle w:val="Title"/>
        <w:jc w:val="center"/>
        <w:rPr>
          <w:rFonts w:eastAsia="Times New Roman"/>
          <w:lang w:val="en" w:eastAsia="en-AU"/>
        </w:rPr>
      </w:pPr>
    </w:p>
    <w:p w14:paraId="44017019" w14:textId="77777777" w:rsidR="00DC5B1F" w:rsidRDefault="00DC5B1F" w:rsidP="00DC5B1F">
      <w:pPr>
        <w:pStyle w:val="Title"/>
        <w:jc w:val="center"/>
        <w:rPr>
          <w:rFonts w:eastAsia="Times New Roman"/>
          <w:lang w:val="en" w:eastAsia="en-AU"/>
        </w:rPr>
      </w:pPr>
    </w:p>
    <w:p w14:paraId="60724941" w14:textId="24C832D6" w:rsidR="00ED4312" w:rsidRPr="00AA54CC" w:rsidRDefault="001E6AD4" w:rsidP="00AA54CC">
      <w:pPr>
        <w:pStyle w:val="Title"/>
        <w:jc w:val="center"/>
        <w:rPr>
          <w:rFonts w:eastAsia="Times New Roman"/>
          <w:b/>
          <w:bCs/>
          <w:sz w:val="72"/>
          <w:szCs w:val="72"/>
          <w:lang w:val="en" w:eastAsia="en-AU"/>
        </w:rPr>
      </w:pPr>
      <w:r w:rsidRPr="00930B6B">
        <w:rPr>
          <w:rFonts w:eastAsia="Times New Roman"/>
          <w:b/>
          <w:bCs/>
          <w:color w:val="323E4F" w:themeColor="text2" w:themeShade="BF"/>
          <w:sz w:val="72"/>
          <w:szCs w:val="72"/>
          <w:lang w:val="en" w:eastAsia="en-AU"/>
        </w:rPr>
        <w:t xml:space="preserve">THE </w:t>
      </w:r>
      <w:r w:rsidR="002A5C97" w:rsidRPr="00930B6B">
        <w:rPr>
          <w:rFonts w:eastAsia="Times New Roman"/>
          <w:b/>
          <w:bCs/>
          <w:color w:val="323E4F" w:themeColor="text2" w:themeShade="BF"/>
          <w:sz w:val="72"/>
          <w:szCs w:val="72"/>
          <w:lang w:val="en" w:eastAsia="en-AU"/>
        </w:rPr>
        <w:t xml:space="preserve">2021 </w:t>
      </w:r>
      <w:r w:rsidRPr="00930B6B">
        <w:rPr>
          <w:rFonts w:eastAsia="Times New Roman"/>
          <w:b/>
          <w:bCs/>
          <w:color w:val="323E4F" w:themeColor="text2" w:themeShade="BF"/>
          <w:sz w:val="72"/>
          <w:szCs w:val="72"/>
          <w:lang w:val="en" w:eastAsia="en-AU"/>
        </w:rPr>
        <w:t>STUDENT RESOURCE PACKAGE</w:t>
      </w:r>
      <w:r w:rsidR="00194BEE" w:rsidRPr="00930B6B">
        <w:rPr>
          <w:rFonts w:eastAsia="Times New Roman"/>
          <w:b/>
          <w:bCs/>
          <w:color w:val="323E4F" w:themeColor="text2" w:themeShade="BF"/>
          <w:sz w:val="72"/>
          <w:szCs w:val="72"/>
          <w:lang w:val="en" w:eastAsia="en-AU"/>
        </w:rPr>
        <w:t xml:space="preserve"> GUIDE </w:t>
      </w:r>
      <w:r w:rsidRPr="00AA54CC">
        <w:rPr>
          <w:rFonts w:eastAsia="Times New Roman"/>
          <w:b/>
          <w:bCs/>
          <w:sz w:val="72"/>
          <w:szCs w:val="72"/>
          <w:lang w:val="en" w:eastAsia="en-AU"/>
        </w:rPr>
        <w:br/>
      </w:r>
      <w:r w:rsidRPr="00AA54CC">
        <w:rPr>
          <w:rFonts w:eastAsia="Times New Roman"/>
          <w:b/>
          <w:bCs/>
          <w:sz w:val="72"/>
          <w:szCs w:val="72"/>
          <w:lang w:val="en" w:eastAsia="en-AU"/>
        </w:rPr>
        <w:br/>
      </w:r>
    </w:p>
    <w:p w14:paraId="55D651B2" w14:textId="73A379A5" w:rsidR="001E6AD4" w:rsidRDefault="001E6AD4" w:rsidP="00AA54CC">
      <w:pPr>
        <w:jc w:val="center"/>
        <w:rPr>
          <w:lang w:val="en" w:eastAsia="en-AU"/>
        </w:rPr>
      </w:pPr>
    </w:p>
    <w:p w14:paraId="67918995" w14:textId="5557F7C3" w:rsidR="001E6AD4" w:rsidRDefault="001E6AD4" w:rsidP="001E6AD4">
      <w:pPr>
        <w:rPr>
          <w:lang w:val="en" w:eastAsia="en-AU"/>
        </w:rPr>
      </w:pPr>
    </w:p>
    <w:p w14:paraId="2AC8DD7E" w14:textId="76E5E298" w:rsidR="001E6AD4" w:rsidRDefault="001E6AD4" w:rsidP="001E6AD4">
      <w:pPr>
        <w:rPr>
          <w:lang w:val="en" w:eastAsia="en-AU"/>
        </w:rPr>
      </w:pPr>
    </w:p>
    <w:p w14:paraId="6C32C76B" w14:textId="0F3FE3DA" w:rsidR="001E6AD4" w:rsidRDefault="001E6AD4" w:rsidP="001E6AD4">
      <w:pPr>
        <w:rPr>
          <w:lang w:val="en" w:eastAsia="en-AU"/>
        </w:rPr>
      </w:pPr>
    </w:p>
    <w:p w14:paraId="2C56BEB0" w14:textId="16DE2C4C" w:rsidR="001E6AD4" w:rsidRDefault="001E6AD4" w:rsidP="001E6AD4">
      <w:pPr>
        <w:rPr>
          <w:lang w:val="en" w:eastAsia="en-AU"/>
        </w:rPr>
      </w:pPr>
    </w:p>
    <w:p w14:paraId="64562896" w14:textId="01783358" w:rsidR="001E6AD4" w:rsidRDefault="001E6AD4" w:rsidP="001E6AD4">
      <w:pPr>
        <w:rPr>
          <w:lang w:val="en" w:eastAsia="en-AU"/>
        </w:rPr>
      </w:pPr>
    </w:p>
    <w:p w14:paraId="75DB7DC4" w14:textId="0074B53A" w:rsidR="001E6AD4" w:rsidRDefault="001E6AD4" w:rsidP="001E6AD4">
      <w:pPr>
        <w:rPr>
          <w:lang w:val="en" w:eastAsia="en-AU"/>
        </w:rPr>
      </w:pPr>
    </w:p>
    <w:p w14:paraId="185930A3" w14:textId="78DBFA42" w:rsidR="001E6AD4" w:rsidRDefault="001E6AD4" w:rsidP="001E6AD4">
      <w:pPr>
        <w:rPr>
          <w:lang w:val="en" w:eastAsia="en-AU"/>
        </w:rPr>
      </w:pPr>
    </w:p>
    <w:p w14:paraId="44B4A71E" w14:textId="617BF17E" w:rsidR="001E6AD4" w:rsidRDefault="001E6AD4" w:rsidP="001E6AD4">
      <w:pPr>
        <w:rPr>
          <w:lang w:val="en" w:eastAsia="en-AU"/>
        </w:rPr>
      </w:pPr>
    </w:p>
    <w:p w14:paraId="6AEC4AC8" w14:textId="6438572F" w:rsidR="001E6AD4" w:rsidRDefault="001E6AD4" w:rsidP="001E6AD4">
      <w:pPr>
        <w:rPr>
          <w:lang w:val="en" w:eastAsia="en-AU"/>
        </w:rPr>
      </w:pPr>
    </w:p>
    <w:p w14:paraId="7712780B" w14:textId="1A94446C" w:rsidR="001E6AD4" w:rsidRDefault="001E6AD4" w:rsidP="001E6AD4">
      <w:pPr>
        <w:rPr>
          <w:lang w:val="en" w:eastAsia="en-AU"/>
        </w:rPr>
      </w:pPr>
    </w:p>
    <w:p w14:paraId="4511919D" w14:textId="6FF1DD02" w:rsidR="001E6AD4" w:rsidRDefault="001E6AD4" w:rsidP="001E6AD4">
      <w:pPr>
        <w:rPr>
          <w:lang w:val="en" w:eastAsia="en-AU"/>
        </w:rPr>
      </w:pPr>
    </w:p>
    <w:p w14:paraId="41FE1F35" w14:textId="7D48BDF7" w:rsidR="001E6AD4" w:rsidRDefault="001E6AD4" w:rsidP="001E6AD4">
      <w:pPr>
        <w:rPr>
          <w:lang w:val="en" w:eastAsia="en-AU"/>
        </w:rPr>
      </w:pPr>
    </w:p>
    <w:p w14:paraId="56ED9C61" w14:textId="0A77E11E" w:rsidR="00DC5B1F" w:rsidRDefault="00DC5B1F" w:rsidP="001E6AD4">
      <w:pPr>
        <w:rPr>
          <w:lang w:val="en" w:eastAsia="en-AU"/>
        </w:rPr>
      </w:pPr>
    </w:p>
    <w:sdt>
      <w:sdtPr>
        <w:rPr>
          <w:rFonts w:asciiTheme="minorHAnsi" w:eastAsiaTheme="minorHAnsi" w:hAnsiTheme="minorHAnsi" w:cstheme="minorBidi"/>
          <w:color w:val="000000"/>
          <w:sz w:val="22"/>
          <w:szCs w:val="22"/>
          <w:lang w:val="en-AU"/>
          <w14:textFill>
            <w14:solidFill>
              <w14:srgbClr w14:val="000000">
                <w14:lumMod w14:val="75000"/>
              </w14:srgbClr>
            </w14:solidFill>
          </w14:textFill>
        </w:rPr>
        <w:id w:val="84042412"/>
        <w:docPartObj>
          <w:docPartGallery w:val="Table of Contents"/>
          <w:docPartUnique/>
        </w:docPartObj>
      </w:sdtPr>
      <w:sdtEndPr>
        <w:rPr>
          <w:b/>
          <w:bCs/>
          <w:noProof/>
        </w:rPr>
      </w:sdtEndPr>
      <w:sdtContent>
        <w:p w14:paraId="1DBFF339" w14:textId="7A64A7AB" w:rsidR="00787CC6" w:rsidRPr="002C1457" w:rsidRDefault="00787CC6" w:rsidP="00B449D7">
          <w:pPr>
            <w:pStyle w:val="TOCHeading"/>
          </w:pPr>
          <w:r w:rsidRPr="002C1457">
            <w:t>Contents</w:t>
          </w:r>
        </w:p>
        <w:p w14:paraId="63F10291" w14:textId="19C4ED84" w:rsidR="00AD25F3" w:rsidRPr="006E3D8D" w:rsidRDefault="007016CD">
          <w:pPr>
            <w:pStyle w:val="TOC1"/>
            <w:tabs>
              <w:tab w:val="right" w:leader="dot" w:pos="9016"/>
            </w:tabs>
            <w:rPr>
              <w:rFonts w:eastAsiaTheme="minorEastAsia"/>
              <w:noProof/>
              <w:color w:val="222A35" w:themeColor="text2" w:themeShade="80"/>
              <w:lang w:eastAsia="en-AU"/>
            </w:rPr>
          </w:pPr>
          <w:r w:rsidRPr="006E3D8D">
            <w:rPr>
              <w:color w:val="222A35" w:themeColor="text2" w:themeShade="80"/>
            </w:rPr>
            <w:fldChar w:fldCharType="begin"/>
          </w:r>
          <w:r w:rsidRPr="006E3D8D">
            <w:rPr>
              <w:color w:val="222A35" w:themeColor="text2" w:themeShade="80"/>
            </w:rPr>
            <w:instrText xml:space="preserve"> TOC \o "1-2" \h \z </w:instrText>
          </w:r>
          <w:r w:rsidRPr="006E3D8D">
            <w:rPr>
              <w:color w:val="222A35" w:themeColor="text2" w:themeShade="80"/>
            </w:rPr>
            <w:fldChar w:fldCharType="separate"/>
          </w:r>
          <w:hyperlink w:anchor="_Toc52796166" w:history="1">
            <w:r w:rsidR="00AD25F3" w:rsidRPr="006E3D8D">
              <w:rPr>
                <w:rStyle w:val="Hyperlink"/>
                <w:noProof/>
                <w:color w:val="222A35" w:themeColor="text2" w:themeShade="80"/>
                <w:lang w:val="en"/>
              </w:rPr>
              <w:t xml:space="preserve">Student Resource </w:t>
            </w:r>
            <w:r w:rsidR="00AD25F3" w:rsidRPr="006E3D8D">
              <w:rPr>
                <w:rStyle w:val="Hyperlink"/>
                <w:noProof/>
                <w:color w:val="222A35" w:themeColor="text2" w:themeShade="80"/>
              </w:rPr>
              <w:t>Package</w:t>
            </w:r>
            <w:r w:rsidR="00AD25F3" w:rsidRPr="006E3D8D">
              <w:rPr>
                <w:rStyle w:val="Hyperlink"/>
                <w:noProof/>
                <w:color w:val="222A35" w:themeColor="text2" w:themeShade="80"/>
                <w:lang w:val="en"/>
              </w:rPr>
              <w:t xml:space="preserve"> — Core Student Learning Allocation funding (Student Based Funding)</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_Toc52796166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4</w:t>
            </w:r>
            <w:r w:rsidR="00AD25F3" w:rsidRPr="006E3D8D">
              <w:rPr>
                <w:noProof/>
                <w:webHidden/>
                <w:color w:val="222A35" w:themeColor="text2" w:themeShade="80"/>
              </w:rPr>
              <w:fldChar w:fldCharType="end"/>
            </w:r>
          </w:hyperlink>
        </w:p>
        <w:p w14:paraId="2FFC4ED1" w14:textId="14EBA475" w:rsidR="00AD25F3" w:rsidRPr="006E3D8D" w:rsidRDefault="007E3659">
          <w:pPr>
            <w:pStyle w:val="TOC2"/>
            <w:rPr>
              <w:rFonts w:eastAsiaTheme="minorEastAsia"/>
              <w:noProof/>
              <w:color w:val="222A35" w:themeColor="text2" w:themeShade="80"/>
              <w:lang w:eastAsia="en-AU"/>
            </w:rPr>
          </w:pPr>
          <w:hyperlink w:anchor="_Toc52796167" w:history="1">
            <w:r w:rsidR="00AD25F3" w:rsidRPr="006E3D8D">
              <w:rPr>
                <w:rStyle w:val="Hyperlink"/>
                <w:noProof/>
                <w:color w:val="222A35" w:themeColor="text2" w:themeShade="80"/>
              </w:rPr>
              <w:t>Student per capita Funding Years Prep-12 Students (Reference 1)</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_Toc52796167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6</w:t>
            </w:r>
            <w:r w:rsidR="00AD25F3" w:rsidRPr="006E3D8D">
              <w:rPr>
                <w:noProof/>
                <w:webHidden/>
                <w:color w:val="222A35" w:themeColor="text2" w:themeShade="80"/>
              </w:rPr>
              <w:fldChar w:fldCharType="end"/>
            </w:r>
          </w:hyperlink>
        </w:p>
        <w:p w14:paraId="7D686F1B" w14:textId="17802EEC" w:rsidR="00AD25F3" w:rsidRPr="006E3D8D" w:rsidRDefault="007E3659">
          <w:pPr>
            <w:pStyle w:val="TOC2"/>
            <w:rPr>
              <w:rFonts w:eastAsiaTheme="minorEastAsia"/>
              <w:noProof/>
              <w:color w:val="222A35" w:themeColor="text2" w:themeShade="80"/>
              <w:lang w:eastAsia="en-AU"/>
            </w:rPr>
          </w:pPr>
          <w:hyperlink w:anchor="_Toc52796168" w:history="1">
            <w:r w:rsidR="00AD25F3" w:rsidRPr="006E3D8D">
              <w:rPr>
                <w:rStyle w:val="Hyperlink"/>
                <w:noProof/>
                <w:color w:val="222A35" w:themeColor="text2" w:themeShade="80"/>
              </w:rPr>
              <w:t>Enrolment Linked Base (Reference 2)</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_Toc52796168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w:t>
            </w:r>
            <w:r w:rsidR="00AD25F3" w:rsidRPr="006E3D8D">
              <w:rPr>
                <w:noProof/>
                <w:webHidden/>
                <w:color w:val="222A35" w:themeColor="text2" w:themeShade="80"/>
              </w:rPr>
              <w:fldChar w:fldCharType="end"/>
            </w:r>
          </w:hyperlink>
        </w:p>
        <w:p w14:paraId="2A7B4E14" w14:textId="62A2DA12" w:rsidR="00AD25F3" w:rsidRPr="006E3D8D" w:rsidRDefault="007E3659">
          <w:pPr>
            <w:pStyle w:val="TOC2"/>
            <w:rPr>
              <w:rFonts w:eastAsiaTheme="minorEastAsia"/>
              <w:noProof/>
              <w:color w:val="222A35" w:themeColor="text2" w:themeShade="80"/>
              <w:lang w:eastAsia="en-AU"/>
            </w:rPr>
          </w:pPr>
          <w:hyperlink w:anchor="_Toc52796169" w:history="1">
            <w:r w:rsidR="00AD25F3" w:rsidRPr="006E3D8D">
              <w:rPr>
                <w:rStyle w:val="Hyperlink"/>
                <w:noProof/>
                <w:color w:val="222A35" w:themeColor="text2" w:themeShade="80"/>
              </w:rPr>
              <w:t>Small School Base (Reference 3)</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_Toc52796169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10</w:t>
            </w:r>
            <w:r w:rsidR="00AD25F3" w:rsidRPr="006E3D8D">
              <w:rPr>
                <w:noProof/>
                <w:webHidden/>
                <w:color w:val="222A35" w:themeColor="text2" w:themeShade="80"/>
              </w:rPr>
              <w:fldChar w:fldCharType="end"/>
            </w:r>
          </w:hyperlink>
        </w:p>
        <w:p w14:paraId="576F2510" w14:textId="4B0DA3FB" w:rsidR="00AD25F3" w:rsidRPr="006E3D8D" w:rsidRDefault="007E3659">
          <w:pPr>
            <w:pStyle w:val="TOC2"/>
            <w:rPr>
              <w:rFonts w:eastAsiaTheme="minorEastAsia"/>
              <w:noProof/>
              <w:color w:val="222A35" w:themeColor="text2" w:themeShade="80"/>
              <w:lang w:eastAsia="en-AU"/>
            </w:rPr>
          </w:pPr>
          <w:hyperlink w:anchor="_Toc52796170" w:history="1">
            <w:r w:rsidR="00AD25F3" w:rsidRPr="006E3D8D">
              <w:rPr>
                <w:rStyle w:val="Hyperlink"/>
                <w:noProof/>
                <w:color w:val="222A35" w:themeColor="text2" w:themeShade="80"/>
              </w:rPr>
              <w:t>Rural School Size Adjustment Factor (Reference 4)</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_Toc52796170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12</w:t>
            </w:r>
            <w:r w:rsidR="00AD25F3" w:rsidRPr="006E3D8D">
              <w:rPr>
                <w:noProof/>
                <w:webHidden/>
                <w:color w:val="222A35" w:themeColor="text2" w:themeShade="80"/>
              </w:rPr>
              <w:fldChar w:fldCharType="end"/>
            </w:r>
          </w:hyperlink>
        </w:p>
        <w:p w14:paraId="5DEDC1CF" w14:textId="4DAEF039" w:rsidR="00AD25F3" w:rsidRPr="006E3D8D" w:rsidRDefault="007E3659">
          <w:pPr>
            <w:pStyle w:val="TOC2"/>
            <w:rPr>
              <w:rFonts w:eastAsiaTheme="minorEastAsia"/>
              <w:noProof/>
              <w:color w:val="222A35" w:themeColor="text2" w:themeShade="80"/>
              <w:lang w:eastAsia="en-AU"/>
            </w:rPr>
          </w:pPr>
          <w:hyperlink w:anchor="_Toc52796171" w:history="1">
            <w:r w:rsidR="00AD25F3" w:rsidRPr="006E3D8D">
              <w:rPr>
                <w:rStyle w:val="Hyperlink"/>
                <w:noProof/>
                <w:color w:val="222A35" w:themeColor="text2" w:themeShade="80"/>
              </w:rPr>
              <w:t>Core Index Stages 1-3 (Reference 5)</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_Toc52796171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14</w:t>
            </w:r>
            <w:r w:rsidR="00AD25F3" w:rsidRPr="006E3D8D">
              <w:rPr>
                <w:noProof/>
                <w:webHidden/>
                <w:color w:val="222A35" w:themeColor="text2" w:themeShade="80"/>
              </w:rPr>
              <w:fldChar w:fldCharType="end"/>
            </w:r>
          </w:hyperlink>
        </w:p>
        <w:p w14:paraId="05310ABA" w14:textId="46C6D2F3" w:rsidR="00AD25F3" w:rsidRPr="006E3D8D" w:rsidRDefault="007E3659">
          <w:pPr>
            <w:pStyle w:val="TOC2"/>
            <w:rPr>
              <w:rFonts w:eastAsiaTheme="minorEastAsia"/>
              <w:noProof/>
              <w:color w:val="222A35" w:themeColor="text2" w:themeShade="80"/>
              <w:lang w:eastAsia="en-AU"/>
            </w:rPr>
          </w:pPr>
          <w:hyperlink w:anchor="_Toc52796172" w:history="1">
            <w:r w:rsidR="00AD25F3" w:rsidRPr="006E3D8D">
              <w:rPr>
                <w:rStyle w:val="Hyperlink"/>
                <w:noProof/>
                <w:color w:val="222A35" w:themeColor="text2" w:themeShade="80"/>
              </w:rPr>
              <w:t>Size Adjustment Supplementation (Reference 6)</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_Toc52796172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16</w:t>
            </w:r>
            <w:r w:rsidR="00AD25F3" w:rsidRPr="006E3D8D">
              <w:rPr>
                <w:noProof/>
                <w:webHidden/>
                <w:color w:val="222A35" w:themeColor="text2" w:themeShade="80"/>
              </w:rPr>
              <w:fldChar w:fldCharType="end"/>
            </w:r>
          </w:hyperlink>
        </w:p>
        <w:p w14:paraId="457543F5" w14:textId="33105C2C" w:rsidR="00AD25F3" w:rsidRPr="006E3D8D" w:rsidRDefault="007E3659">
          <w:pPr>
            <w:pStyle w:val="TOC2"/>
            <w:rPr>
              <w:rFonts w:eastAsiaTheme="minorEastAsia"/>
              <w:noProof/>
              <w:color w:val="222A35" w:themeColor="text2" w:themeShade="80"/>
              <w:lang w:eastAsia="en-AU"/>
            </w:rPr>
          </w:pPr>
          <w:hyperlink w:anchor="_Toc52796173" w:history="1">
            <w:r w:rsidR="00AD25F3" w:rsidRPr="006E3D8D">
              <w:rPr>
                <w:rStyle w:val="Hyperlink"/>
                <w:noProof/>
                <w:color w:val="222A35" w:themeColor="text2" w:themeShade="80"/>
              </w:rPr>
              <w:t>Approved Early Education Program (Reference 7)</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_Toc52796173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17</w:t>
            </w:r>
            <w:r w:rsidR="00AD25F3" w:rsidRPr="006E3D8D">
              <w:rPr>
                <w:noProof/>
                <w:webHidden/>
                <w:color w:val="222A35" w:themeColor="text2" w:themeShade="80"/>
              </w:rPr>
              <w:fldChar w:fldCharType="end"/>
            </w:r>
          </w:hyperlink>
        </w:p>
        <w:p w14:paraId="3EBCE54C" w14:textId="6B223427" w:rsidR="00AD25F3" w:rsidRPr="006E3D8D" w:rsidRDefault="007E3659">
          <w:pPr>
            <w:pStyle w:val="TOC2"/>
            <w:rPr>
              <w:rFonts w:eastAsiaTheme="minorEastAsia"/>
              <w:noProof/>
              <w:color w:val="222A35" w:themeColor="text2" w:themeShade="80"/>
              <w:lang w:eastAsia="en-AU"/>
            </w:rPr>
          </w:pPr>
          <w:hyperlink w:anchor="_Toc52796174" w:history="1">
            <w:r w:rsidR="00AD25F3" w:rsidRPr="006E3D8D">
              <w:rPr>
                <w:rStyle w:val="Hyperlink"/>
                <w:noProof/>
                <w:color w:val="222A35" w:themeColor="text2" w:themeShade="80"/>
              </w:rPr>
              <w:t>Principal Salary Adjustment (Reference 8)</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_Toc52796174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18</w:t>
            </w:r>
            <w:r w:rsidR="00AD25F3" w:rsidRPr="006E3D8D">
              <w:rPr>
                <w:noProof/>
                <w:webHidden/>
                <w:color w:val="222A35" w:themeColor="text2" w:themeShade="80"/>
              </w:rPr>
              <w:fldChar w:fldCharType="end"/>
            </w:r>
          </w:hyperlink>
        </w:p>
        <w:p w14:paraId="6FB55F89" w14:textId="704C5D87" w:rsidR="00AD25F3" w:rsidRPr="006E3D8D" w:rsidRDefault="007E3659">
          <w:pPr>
            <w:pStyle w:val="TOC2"/>
            <w:rPr>
              <w:rFonts w:eastAsiaTheme="minorEastAsia"/>
              <w:noProof/>
              <w:color w:val="222A35" w:themeColor="text2" w:themeShade="80"/>
              <w:lang w:eastAsia="en-AU"/>
            </w:rPr>
          </w:pPr>
          <w:hyperlink w:anchor="_Toc52796175" w:history="1">
            <w:r w:rsidR="00AD25F3" w:rsidRPr="006E3D8D">
              <w:rPr>
                <w:rStyle w:val="Hyperlink"/>
                <w:noProof/>
                <w:color w:val="222A35" w:themeColor="text2" w:themeShade="80"/>
              </w:rPr>
              <w:t>Language and Learning Disabilities Support Program (Reference 10)</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_Toc52796175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19</w:t>
            </w:r>
            <w:r w:rsidR="00AD25F3" w:rsidRPr="006E3D8D">
              <w:rPr>
                <w:noProof/>
                <w:webHidden/>
                <w:color w:val="222A35" w:themeColor="text2" w:themeShade="80"/>
              </w:rPr>
              <w:fldChar w:fldCharType="end"/>
            </w:r>
          </w:hyperlink>
        </w:p>
        <w:p w14:paraId="1C1EFD30" w14:textId="5975638A" w:rsidR="00AD25F3" w:rsidRPr="006E3D8D" w:rsidRDefault="007E3659">
          <w:pPr>
            <w:pStyle w:val="TOC2"/>
            <w:rPr>
              <w:rFonts w:eastAsiaTheme="minorEastAsia"/>
              <w:noProof/>
              <w:color w:val="222A35" w:themeColor="text2" w:themeShade="80"/>
              <w:lang w:eastAsia="en-AU"/>
            </w:rPr>
          </w:pPr>
          <w:hyperlink w:anchor="_Toc52796176" w:history="1">
            <w:r w:rsidR="00AD25F3" w:rsidRPr="006E3D8D">
              <w:rPr>
                <w:rStyle w:val="Hyperlink"/>
                <w:noProof/>
                <w:color w:val="222A35" w:themeColor="text2" w:themeShade="80"/>
              </w:rPr>
              <w:t>Mental Health Practioners (Reference 119)</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_Toc52796176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22</w:t>
            </w:r>
            <w:r w:rsidR="00AD25F3" w:rsidRPr="006E3D8D">
              <w:rPr>
                <w:noProof/>
                <w:webHidden/>
                <w:color w:val="222A35" w:themeColor="text2" w:themeShade="80"/>
              </w:rPr>
              <w:fldChar w:fldCharType="end"/>
            </w:r>
          </w:hyperlink>
        </w:p>
        <w:p w14:paraId="6BE3DBFF" w14:textId="33ABEE14" w:rsidR="00AD25F3" w:rsidRPr="006E3D8D" w:rsidRDefault="007E3659">
          <w:pPr>
            <w:pStyle w:val="TOC1"/>
            <w:tabs>
              <w:tab w:val="right" w:leader="dot" w:pos="9016"/>
            </w:tabs>
            <w:rPr>
              <w:rFonts w:eastAsiaTheme="minorEastAsia"/>
              <w:noProof/>
              <w:color w:val="222A35" w:themeColor="text2" w:themeShade="80"/>
              <w:lang w:eastAsia="en-AU"/>
            </w:rPr>
          </w:pPr>
          <w:hyperlink w:anchor="_Toc52796177" w:history="1">
            <w:r w:rsidR="00AD25F3" w:rsidRPr="006E3D8D">
              <w:rPr>
                <w:rStyle w:val="Hyperlink"/>
                <w:noProof/>
                <w:color w:val="222A35" w:themeColor="text2" w:themeShade="80"/>
              </w:rPr>
              <w:t>Student Resource Package — Equity Funding (Student Based Funding)</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_Toc52796177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24</w:t>
            </w:r>
            <w:r w:rsidR="00AD25F3" w:rsidRPr="006E3D8D">
              <w:rPr>
                <w:noProof/>
                <w:webHidden/>
                <w:color w:val="222A35" w:themeColor="text2" w:themeShade="80"/>
              </w:rPr>
              <w:fldChar w:fldCharType="end"/>
            </w:r>
          </w:hyperlink>
        </w:p>
        <w:p w14:paraId="1F7BC35E" w14:textId="16746874" w:rsidR="00AD25F3" w:rsidRPr="006E3D8D" w:rsidRDefault="007E3659">
          <w:pPr>
            <w:pStyle w:val="TOC2"/>
            <w:rPr>
              <w:rFonts w:eastAsiaTheme="minorEastAsia"/>
              <w:noProof/>
              <w:color w:val="222A35" w:themeColor="text2" w:themeShade="80"/>
              <w:lang w:eastAsia="en-AU"/>
            </w:rPr>
          </w:pPr>
          <w:hyperlink w:anchor="_Toc52796178" w:history="1">
            <w:r w:rsidR="00AD25F3" w:rsidRPr="006E3D8D">
              <w:rPr>
                <w:rStyle w:val="Hyperlink"/>
                <w:noProof/>
                <w:color w:val="222A35" w:themeColor="text2" w:themeShade="80"/>
              </w:rPr>
              <w:t>Equity (Social Disadvantage) (Reference 11)</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_Toc52796178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26</w:t>
            </w:r>
            <w:r w:rsidR="00AD25F3" w:rsidRPr="006E3D8D">
              <w:rPr>
                <w:noProof/>
                <w:webHidden/>
                <w:color w:val="222A35" w:themeColor="text2" w:themeShade="80"/>
              </w:rPr>
              <w:fldChar w:fldCharType="end"/>
            </w:r>
          </w:hyperlink>
        </w:p>
        <w:p w14:paraId="6A02BF31" w14:textId="18C648D8" w:rsidR="00AD25F3" w:rsidRPr="006E3D8D" w:rsidRDefault="007E3659">
          <w:pPr>
            <w:pStyle w:val="TOC2"/>
            <w:rPr>
              <w:rFonts w:eastAsiaTheme="minorEastAsia"/>
              <w:noProof/>
              <w:color w:val="222A35" w:themeColor="text2" w:themeShade="80"/>
              <w:lang w:eastAsia="en-AU"/>
            </w:rPr>
          </w:pPr>
          <w:hyperlink w:anchor="_Toc52796179" w:history="1">
            <w:r w:rsidR="00AD25F3" w:rsidRPr="006E3D8D">
              <w:rPr>
                <w:rStyle w:val="Hyperlink"/>
                <w:noProof/>
                <w:color w:val="222A35" w:themeColor="text2" w:themeShade="80"/>
              </w:rPr>
              <w:t>Equity (Catch Up) (Reference 12)</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_Toc52796179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32</w:t>
            </w:r>
            <w:r w:rsidR="00AD25F3" w:rsidRPr="006E3D8D">
              <w:rPr>
                <w:noProof/>
                <w:webHidden/>
                <w:color w:val="222A35" w:themeColor="text2" w:themeShade="80"/>
              </w:rPr>
              <w:fldChar w:fldCharType="end"/>
            </w:r>
          </w:hyperlink>
        </w:p>
        <w:p w14:paraId="066DB709" w14:textId="3478395E" w:rsidR="00AD25F3" w:rsidRPr="006E3D8D" w:rsidRDefault="007E3659">
          <w:pPr>
            <w:pStyle w:val="TOC2"/>
            <w:rPr>
              <w:rFonts w:eastAsiaTheme="minorEastAsia"/>
              <w:noProof/>
              <w:color w:val="222A35" w:themeColor="text2" w:themeShade="80"/>
              <w:lang w:eastAsia="en-AU"/>
            </w:rPr>
          </w:pPr>
          <w:hyperlink w:anchor="_Toc52796180" w:history="1">
            <w:r w:rsidR="00AD25F3" w:rsidRPr="006E3D8D">
              <w:rPr>
                <w:rStyle w:val="Hyperlink"/>
                <w:noProof/>
                <w:color w:val="222A35" w:themeColor="text2" w:themeShade="80"/>
              </w:rPr>
              <w:t>Mobility (Reference 14)</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_Toc52796180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36</w:t>
            </w:r>
            <w:r w:rsidR="00AD25F3" w:rsidRPr="006E3D8D">
              <w:rPr>
                <w:noProof/>
                <w:webHidden/>
                <w:color w:val="222A35" w:themeColor="text2" w:themeShade="80"/>
              </w:rPr>
              <w:fldChar w:fldCharType="end"/>
            </w:r>
          </w:hyperlink>
        </w:p>
        <w:p w14:paraId="3A138DE4" w14:textId="32CC54E5" w:rsidR="00AD25F3" w:rsidRPr="006E3D8D" w:rsidRDefault="007E3659">
          <w:pPr>
            <w:pStyle w:val="TOC2"/>
            <w:rPr>
              <w:rFonts w:eastAsiaTheme="minorEastAsia"/>
              <w:noProof/>
              <w:color w:val="222A35" w:themeColor="text2" w:themeShade="80"/>
              <w:lang w:eastAsia="en-AU"/>
            </w:rPr>
          </w:pPr>
          <w:hyperlink w:anchor="_Toc52796181" w:history="1">
            <w:r w:rsidR="00AD25F3" w:rsidRPr="006E3D8D">
              <w:rPr>
                <w:rStyle w:val="Hyperlink"/>
                <w:noProof/>
                <w:color w:val="222A35" w:themeColor="text2" w:themeShade="80"/>
              </w:rPr>
              <w:t>Program for Students with Disabilities Levels 1-6 (Reference 15)</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_Toc52796181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38</w:t>
            </w:r>
            <w:r w:rsidR="00AD25F3" w:rsidRPr="006E3D8D">
              <w:rPr>
                <w:noProof/>
                <w:webHidden/>
                <w:color w:val="222A35" w:themeColor="text2" w:themeShade="80"/>
              </w:rPr>
              <w:fldChar w:fldCharType="end"/>
            </w:r>
          </w:hyperlink>
        </w:p>
        <w:p w14:paraId="1B373175" w14:textId="72040767" w:rsidR="00AD25F3" w:rsidRPr="006E3D8D" w:rsidRDefault="007E3659">
          <w:pPr>
            <w:pStyle w:val="TOC2"/>
            <w:rPr>
              <w:rFonts w:eastAsiaTheme="minorEastAsia"/>
              <w:noProof/>
              <w:color w:val="222A35" w:themeColor="text2" w:themeShade="80"/>
              <w:lang w:eastAsia="en-AU"/>
            </w:rPr>
          </w:pPr>
          <w:hyperlink w:anchor="_Toc52796182" w:history="1">
            <w:r w:rsidR="00AD25F3" w:rsidRPr="006E3D8D">
              <w:rPr>
                <w:rStyle w:val="Hyperlink"/>
                <w:noProof/>
                <w:color w:val="222A35" w:themeColor="text2" w:themeShade="80"/>
              </w:rPr>
              <w:t>Special School Complexity Allowance (Reference 18)</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_Toc52796182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42</w:t>
            </w:r>
            <w:r w:rsidR="00AD25F3" w:rsidRPr="006E3D8D">
              <w:rPr>
                <w:noProof/>
                <w:webHidden/>
                <w:color w:val="222A35" w:themeColor="text2" w:themeShade="80"/>
              </w:rPr>
              <w:fldChar w:fldCharType="end"/>
            </w:r>
          </w:hyperlink>
        </w:p>
        <w:p w14:paraId="2F710FE0" w14:textId="7E1853E6" w:rsidR="00AD25F3" w:rsidRPr="006E3D8D" w:rsidRDefault="007E3659">
          <w:pPr>
            <w:pStyle w:val="TOC2"/>
            <w:rPr>
              <w:rFonts w:eastAsiaTheme="minorEastAsia"/>
              <w:noProof/>
              <w:color w:val="222A35" w:themeColor="text2" w:themeShade="80"/>
              <w:lang w:eastAsia="en-AU"/>
            </w:rPr>
          </w:pPr>
          <w:hyperlink w:anchor="_Toc52796183" w:history="1">
            <w:r w:rsidR="00AD25F3" w:rsidRPr="006E3D8D">
              <w:rPr>
                <w:rStyle w:val="Hyperlink"/>
                <w:noProof/>
                <w:color w:val="222A35" w:themeColor="text2" w:themeShade="80"/>
              </w:rPr>
              <w:t>Paramedical and Interpreter Staff Salaries (Reference 19)</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_Toc52796183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44</w:t>
            </w:r>
            <w:r w:rsidR="00AD25F3" w:rsidRPr="006E3D8D">
              <w:rPr>
                <w:noProof/>
                <w:webHidden/>
                <w:color w:val="222A35" w:themeColor="text2" w:themeShade="80"/>
              </w:rPr>
              <w:fldChar w:fldCharType="end"/>
            </w:r>
          </w:hyperlink>
        </w:p>
        <w:p w14:paraId="1F7ACAF6" w14:textId="6B086207" w:rsidR="00AD25F3" w:rsidRPr="006E3D8D" w:rsidRDefault="007E3659">
          <w:pPr>
            <w:pStyle w:val="TOC2"/>
            <w:rPr>
              <w:rFonts w:eastAsiaTheme="minorEastAsia"/>
              <w:noProof/>
              <w:color w:val="222A35" w:themeColor="text2" w:themeShade="80"/>
              <w:lang w:eastAsia="en-AU"/>
            </w:rPr>
          </w:pPr>
          <w:hyperlink w:anchor="_Toc52796184" w:history="1">
            <w:r w:rsidR="00AD25F3" w:rsidRPr="006E3D8D">
              <w:rPr>
                <w:rStyle w:val="Hyperlink"/>
                <w:noProof/>
                <w:color w:val="222A35" w:themeColor="text2" w:themeShade="80"/>
              </w:rPr>
              <w:t>Medical Intervention Support (Reference 20)</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_Toc52796184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45</w:t>
            </w:r>
            <w:r w:rsidR="00AD25F3" w:rsidRPr="006E3D8D">
              <w:rPr>
                <w:noProof/>
                <w:webHidden/>
                <w:color w:val="222A35" w:themeColor="text2" w:themeShade="80"/>
              </w:rPr>
              <w:fldChar w:fldCharType="end"/>
            </w:r>
          </w:hyperlink>
        </w:p>
        <w:p w14:paraId="44C8F6E4" w14:textId="14CEAF85" w:rsidR="00AD25F3" w:rsidRPr="006E3D8D" w:rsidRDefault="007E3659">
          <w:pPr>
            <w:pStyle w:val="TOC2"/>
            <w:rPr>
              <w:rFonts w:eastAsiaTheme="minorEastAsia"/>
              <w:noProof/>
              <w:color w:val="222A35" w:themeColor="text2" w:themeShade="80"/>
              <w:lang w:eastAsia="en-AU"/>
            </w:rPr>
          </w:pPr>
          <w:hyperlink w:anchor="_Toc52796185" w:history="1">
            <w:r w:rsidR="00AD25F3" w:rsidRPr="006E3D8D">
              <w:rPr>
                <w:rStyle w:val="Hyperlink"/>
                <w:noProof/>
                <w:color w:val="222A35" w:themeColor="text2" w:themeShade="80"/>
              </w:rPr>
              <w:t>Special School Transport Administration (Reference 25)</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_Toc52796185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47</w:t>
            </w:r>
            <w:r w:rsidR="00AD25F3" w:rsidRPr="006E3D8D">
              <w:rPr>
                <w:noProof/>
                <w:webHidden/>
                <w:color w:val="222A35" w:themeColor="text2" w:themeShade="80"/>
              </w:rPr>
              <w:fldChar w:fldCharType="end"/>
            </w:r>
          </w:hyperlink>
        </w:p>
        <w:p w14:paraId="6CB45328" w14:textId="0C7A354E" w:rsidR="00AD25F3" w:rsidRPr="006E3D8D" w:rsidRDefault="007E3659">
          <w:pPr>
            <w:pStyle w:val="TOC2"/>
            <w:rPr>
              <w:rFonts w:eastAsiaTheme="minorEastAsia"/>
              <w:noProof/>
              <w:color w:val="222A35" w:themeColor="text2" w:themeShade="80"/>
              <w:lang w:eastAsia="en-AU"/>
            </w:rPr>
          </w:pPr>
          <w:hyperlink w:anchor="_Toc52796186" w:history="1">
            <w:r w:rsidR="00AD25F3" w:rsidRPr="006E3D8D">
              <w:rPr>
                <w:rStyle w:val="Hyperlink"/>
                <w:noProof/>
                <w:color w:val="222A35" w:themeColor="text2" w:themeShade="80"/>
              </w:rPr>
              <w:t>EAL Program Funding (Reference 26)</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_Toc52796186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48</w:t>
            </w:r>
            <w:r w:rsidR="00AD25F3" w:rsidRPr="006E3D8D">
              <w:rPr>
                <w:noProof/>
                <w:webHidden/>
                <w:color w:val="222A35" w:themeColor="text2" w:themeShade="80"/>
              </w:rPr>
              <w:fldChar w:fldCharType="end"/>
            </w:r>
          </w:hyperlink>
        </w:p>
        <w:p w14:paraId="5CE70690" w14:textId="532F854D" w:rsidR="00AD25F3" w:rsidRPr="006E3D8D" w:rsidRDefault="007E3659">
          <w:pPr>
            <w:pStyle w:val="TOC2"/>
            <w:rPr>
              <w:rFonts w:eastAsiaTheme="minorEastAsia"/>
              <w:noProof/>
              <w:color w:val="222A35" w:themeColor="text2" w:themeShade="80"/>
              <w:lang w:eastAsia="en-AU"/>
            </w:rPr>
          </w:pPr>
          <w:hyperlink w:anchor="_Toc52796187" w:history="1">
            <w:r w:rsidR="00AD25F3" w:rsidRPr="006E3D8D">
              <w:rPr>
                <w:rStyle w:val="Hyperlink"/>
                <w:noProof/>
                <w:color w:val="222A35" w:themeColor="text2" w:themeShade="80"/>
              </w:rPr>
              <w:t>EAL Contingency (Reference 27)</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_Toc52796187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54</w:t>
            </w:r>
            <w:r w:rsidR="00AD25F3" w:rsidRPr="006E3D8D">
              <w:rPr>
                <w:noProof/>
                <w:webHidden/>
                <w:color w:val="222A35" w:themeColor="text2" w:themeShade="80"/>
              </w:rPr>
              <w:fldChar w:fldCharType="end"/>
            </w:r>
          </w:hyperlink>
        </w:p>
        <w:p w14:paraId="25F3A4D8" w14:textId="13E834B3" w:rsidR="00AD25F3" w:rsidRPr="006E3D8D" w:rsidRDefault="007E3659">
          <w:pPr>
            <w:pStyle w:val="TOC1"/>
            <w:tabs>
              <w:tab w:val="right" w:leader="dot" w:pos="9016"/>
            </w:tabs>
            <w:rPr>
              <w:rFonts w:eastAsiaTheme="minorEastAsia"/>
              <w:noProof/>
              <w:color w:val="222A35" w:themeColor="text2" w:themeShade="80"/>
              <w:lang w:eastAsia="en-AU"/>
            </w:rPr>
          </w:pPr>
          <w:hyperlink w:anchor="_Toc52796188" w:history="1">
            <w:r w:rsidR="00AD25F3" w:rsidRPr="006E3D8D">
              <w:rPr>
                <w:rStyle w:val="Hyperlink"/>
                <w:noProof/>
                <w:color w:val="222A35" w:themeColor="text2" w:themeShade="80"/>
              </w:rPr>
              <w:t>Student Resource Package — School Infrastructure</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_Toc52796188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57</w:t>
            </w:r>
            <w:r w:rsidR="00AD25F3" w:rsidRPr="006E3D8D">
              <w:rPr>
                <w:noProof/>
                <w:webHidden/>
                <w:color w:val="222A35" w:themeColor="text2" w:themeShade="80"/>
              </w:rPr>
              <w:fldChar w:fldCharType="end"/>
            </w:r>
          </w:hyperlink>
        </w:p>
        <w:p w14:paraId="0F07C6D7" w14:textId="4B5C5E9F" w:rsidR="00AD25F3" w:rsidRPr="006E3D8D" w:rsidRDefault="007E3659">
          <w:pPr>
            <w:pStyle w:val="TOC2"/>
            <w:rPr>
              <w:rFonts w:eastAsiaTheme="minorEastAsia"/>
              <w:noProof/>
              <w:color w:val="222A35" w:themeColor="text2" w:themeShade="80"/>
              <w:lang w:eastAsia="en-AU"/>
            </w:rPr>
          </w:pPr>
          <w:hyperlink w:anchor="_Toc52796189" w:history="1">
            <w:r w:rsidR="00AD25F3" w:rsidRPr="006E3D8D">
              <w:rPr>
                <w:rStyle w:val="Hyperlink"/>
                <w:noProof/>
                <w:color w:val="222A35" w:themeColor="text2" w:themeShade="80"/>
              </w:rPr>
              <w:t>Contract cleaning (Reference 28)</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_Toc52796189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58</w:t>
            </w:r>
            <w:r w:rsidR="00AD25F3" w:rsidRPr="006E3D8D">
              <w:rPr>
                <w:noProof/>
                <w:webHidden/>
                <w:color w:val="222A35" w:themeColor="text2" w:themeShade="80"/>
              </w:rPr>
              <w:fldChar w:fldCharType="end"/>
            </w:r>
          </w:hyperlink>
        </w:p>
        <w:p w14:paraId="3863EDD0" w14:textId="24978103" w:rsidR="00AD25F3" w:rsidRPr="006E3D8D" w:rsidRDefault="007E3659">
          <w:pPr>
            <w:pStyle w:val="TOC2"/>
            <w:rPr>
              <w:rFonts w:eastAsiaTheme="minorEastAsia"/>
              <w:noProof/>
              <w:color w:val="222A35" w:themeColor="text2" w:themeShade="80"/>
              <w:lang w:eastAsia="en-AU"/>
            </w:rPr>
          </w:pPr>
          <w:hyperlink w:anchor="_Toc52796190" w:history="1">
            <w:r w:rsidR="00AD25F3" w:rsidRPr="006E3D8D">
              <w:rPr>
                <w:rStyle w:val="Hyperlink"/>
                <w:noProof/>
                <w:color w:val="222A35" w:themeColor="text2" w:themeShade="80"/>
              </w:rPr>
              <w:t>Cross Infection Prevention Allowance (Reference 29)</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_Toc52796190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61</w:t>
            </w:r>
            <w:r w:rsidR="00AD25F3" w:rsidRPr="006E3D8D">
              <w:rPr>
                <w:noProof/>
                <w:webHidden/>
                <w:color w:val="222A35" w:themeColor="text2" w:themeShade="80"/>
              </w:rPr>
              <w:fldChar w:fldCharType="end"/>
            </w:r>
          </w:hyperlink>
        </w:p>
        <w:p w14:paraId="6CA717E1" w14:textId="6733E0C9" w:rsidR="00AD25F3" w:rsidRPr="006E3D8D" w:rsidRDefault="007E3659">
          <w:pPr>
            <w:pStyle w:val="TOC2"/>
            <w:rPr>
              <w:rFonts w:eastAsiaTheme="minorEastAsia"/>
              <w:noProof/>
              <w:color w:val="222A35" w:themeColor="text2" w:themeShade="80"/>
              <w:lang w:eastAsia="en-AU"/>
            </w:rPr>
          </w:pPr>
          <w:hyperlink w:anchor="_Toc52796191" w:history="1">
            <w:r w:rsidR="00AD25F3" w:rsidRPr="006E3D8D">
              <w:rPr>
                <w:rStyle w:val="Hyperlink"/>
                <w:noProof/>
                <w:color w:val="222A35" w:themeColor="text2" w:themeShade="80"/>
              </w:rPr>
              <w:t>Cleaning Minimum Allowance (Reference 30)</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_Toc52796191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62</w:t>
            </w:r>
            <w:r w:rsidR="00AD25F3" w:rsidRPr="006E3D8D">
              <w:rPr>
                <w:noProof/>
                <w:webHidden/>
                <w:color w:val="222A35" w:themeColor="text2" w:themeShade="80"/>
              </w:rPr>
              <w:fldChar w:fldCharType="end"/>
            </w:r>
          </w:hyperlink>
        </w:p>
        <w:p w14:paraId="614C1257" w14:textId="1EC2E2CE" w:rsidR="00AD25F3" w:rsidRPr="006E3D8D" w:rsidRDefault="007E3659">
          <w:pPr>
            <w:pStyle w:val="TOC2"/>
            <w:rPr>
              <w:rFonts w:eastAsiaTheme="minorEastAsia"/>
              <w:noProof/>
              <w:color w:val="222A35" w:themeColor="text2" w:themeShade="80"/>
              <w:lang w:eastAsia="en-AU"/>
            </w:rPr>
          </w:pPr>
          <w:hyperlink w:anchor="_Toc52796192" w:history="1">
            <w:r w:rsidR="00AD25F3" w:rsidRPr="006E3D8D">
              <w:rPr>
                <w:rStyle w:val="Hyperlink"/>
                <w:noProof/>
                <w:color w:val="222A35" w:themeColor="text2" w:themeShade="80"/>
              </w:rPr>
              <w:t>Grounds Allowance (Reference 31)</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_Toc52796192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63</w:t>
            </w:r>
            <w:r w:rsidR="00AD25F3" w:rsidRPr="006E3D8D">
              <w:rPr>
                <w:noProof/>
                <w:webHidden/>
                <w:color w:val="222A35" w:themeColor="text2" w:themeShade="80"/>
              </w:rPr>
              <w:fldChar w:fldCharType="end"/>
            </w:r>
          </w:hyperlink>
        </w:p>
        <w:p w14:paraId="3E687A55" w14:textId="5333BC95" w:rsidR="00AD25F3" w:rsidRPr="006E3D8D" w:rsidRDefault="007E3659">
          <w:pPr>
            <w:pStyle w:val="TOC2"/>
            <w:rPr>
              <w:rFonts w:eastAsiaTheme="minorEastAsia"/>
              <w:noProof/>
              <w:color w:val="222A35" w:themeColor="text2" w:themeShade="80"/>
              <w:lang w:eastAsia="en-AU"/>
            </w:rPr>
          </w:pPr>
          <w:hyperlink w:anchor="_Toc52796193" w:history="1">
            <w:r w:rsidR="00AD25F3" w:rsidRPr="006E3D8D">
              <w:rPr>
                <w:rStyle w:val="Hyperlink"/>
                <w:noProof/>
                <w:color w:val="222A35" w:themeColor="text2" w:themeShade="80"/>
              </w:rPr>
              <w:t>Building Area Allowance (Reference 32)</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_Toc52796193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64</w:t>
            </w:r>
            <w:r w:rsidR="00AD25F3" w:rsidRPr="006E3D8D">
              <w:rPr>
                <w:noProof/>
                <w:webHidden/>
                <w:color w:val="222A35" w:themeColor="text2" w:themeShade="80"/>
              </w:rPr>
              <w:fldChar w:fldCharType="end"/>
            </w:r>
          </w:hyperlink>
        </w:p>
        <w:p w14:paraId="4929E9D7" w14:textId="1E45AC04" w:rsidR="00AD25F3" w:rsidRPr="006E3D8D" w:rsidRDefault="007E3659">
          <w:pPr>
            <w:pStyle w:val="TOC2"/>
            <w:rPr>
              <w:rFonts w:eastAsiaTheme="minorEastAsia"/>
              <w:noProof/>
              <w:color w:val="222A35" w:themeColor="text2" w:themeShade="80"/>
              <w:lang w:eastAsia="en-AU"/>
            </w:rPr>
          </w:pPr>
          <w:hyperlink w:anchor="_Toc52796194" w:history="1">
            <w:r w:rsidR="00AD25F3" w:rsidRPr="006E3D8D">
              <w:rPr>
                <w:rStyle w:val="Hyperlink"/>
                <w:noProof/>
                <w:color w:val="222A35" w:themeColor="text2" w:themeShade="80"/>
              </w:rPr>
              <w:t>Split-Site/Multi-Site Allowance (Reference 33)</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_Toc52796194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65</w:t>
            </w:r>
            <w:r w:rsidR="00AD25F3" w:rsidRPr="006E3D8D">
              <w:rPr>
                <w:noProof/>
                <w:webHidden/>
                <w:color w:val="222A35" w:themeColor="text2" w:themeShade="80"/>
              </w:rPr>
              <w:fldChar w:fldCharType="end"/>
            </w:r>
          </w:hyperlink>
        </w:p>
        <w:p w14:paraId="67FCCA93" w14:textId="6387DE26" w:rsidR="00AD25F3" w:rsidRPr="006E3D8D" w:rsidRDefault="007E3659">
          <w:pPr>
            <w:pStyle w:val="TOC2"/>
            <w:rPr>
              <w:rFonts w:eastAsiaTheme="minorEastAsia"/>
              <w:noProof/>
              <w:color w:val="222A35" w:themeColor="text2" w:themeShade="80"/>
              <w:lang w:eastAsia="en-AU"/>
            </w:rPr>
          </w:pPr>
          <w:hyperlink w:anchor="_Toc52796195" w:history="1">
            <w:r w:rsidR="00AD25F3" w:rsidRPr="006E3D8D">
              <w:rPr>
                <w:rStyle w:val="Hyperlink"/>
                <w:noProof/>
                <w:color w:val="222A35" w:themeColor="text2" w:themeShade="80"/>
              </w:rPr>
              <w:t>Utilities (Reference 34)</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_Toc52796195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67</w:t>
            </w:r>
            <w:r w:rsidR="00AD25F3" w:rsidRPr="006E3D8D">
              <w:rPr>
                <w:noProof/>
                <w:webHidden/>
                <w:color w:val="222A35" w:themeColor="text2" w:themeShade="80"/>
              </w:rPr>
              <w:fldChar w:fldCharType="end"/>
            </w:r>
          </w:hyperlink>
        </w:p>
        <w:p w14:paraId="67F451B3" w14:textId="3A1ADF77" w:rsidR="00AD25F3" w:rsidRPr="006E3D8D" w:rsidRDefault="007E3659">
          <w:pPr>
            <w:pStyle w:val="TOC2"/>
            <w:rPr>
              <w:rFonts w:eastAsiaTheme="minorEastAsia"/>
              <w:noProof/>
              <w:color w:val="222A35" w:themeColor="text2" w:themeShade="80"/>
              <w:lang w:eastAsia="en-AU"/>
            </w:rPr>
          </w:pPr>
          <w:hyperlink w:anchor="_Toc52796196" w:history="1">
            <w:r w:rsidR="00AD25F3" w:rsidRPr="006E3D8D">
              <w:rPr>
                <w:rStyle w:val="Hyperlink"/>
                <w:noProof/>
                <w:color w:val="222A35" w:themeColor="text2" w:themeShade="80"/>
              </w:rPr>
              <w:t>Maintenance (Reference 35)</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_Toc52796196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70</w:t>
            </w:r>
            <w:r w:rsidR="00AD25F3" w:rsidRPr="006E3D8D">
              <w:rPr>
                <w:noProof/>
                <w:webHidden/>
                <w:color w:val="222A35" w:themeColor="text2" w:themeShade="80"/>
              </w:rPr>
              <w:fldChar w:fldCharType="end"/>
            </w:r>
          </w:hyperlink>
        </w:p>
        <w:p w14:paraId="22EF3A3D" w14:textId="2AA9FBFD" w:rsidR="00AD25F3" w:rsidRPr="006E3D8D" w:rsidRDefault="007E3659">
          <w:pPr>
            <w:pStyle w:val="TOC2"/>
            <w:rPr>
              <w:rFonts w:eastAsiaTheme="minorEastAsia"/>
              <w:noProof/>
              <w:color w:val="222A35" w:themeColor="text2" w:themeShade="80"/>
              <w:lang w:eastAsia="en-AU"/>
            </w:rPr>
          </w:pPr>
          <w:hyperlink w:anchor="_Toc52796197" w:history="1">
            <w:r w:rsidR="00AD25F3" w:rsidRPr="006E3D8D">
              <w:rPr>
                <w:rStyle w:val="Hyperlink"/>
                <w:noProof/>
                <w:color w:val="222A35" w:themeColor="text2" w:themeShade="80"/>
              </w:rPr>
              <w:t>Annual Contracts and Essential Safety Measures (ACES) (Ref 36)</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_Toc52796197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72</w:t>
            </w:r>
            <w:r w:rsidR="00AD25F3" w:rsidRPr="006E3D8D">
              <w:rPr>
                <w:noProof/>
                <w:webHidden/>
                <w:color w:val="222A35" w:themeColor="text2" w:themeShade="80"/>
              </w:rPr>
              <w:fldChar w:fldCharType="end"/>
            </w:r>
          </w:hyperlink>
        </w:p>
        <w:p w14:paraId="4E99F373" w14:textId="2FA7397D" w:rsidR="00AD25F3" w:rsidRPr="006E3D8D" w:rsidRDefault="007E3659">
          <w:pPr>
            <w:pStyle w:val="TOC2"/>
            <w:rPr>
              <w:rFonts w:eastAsiaTheme="minorEastAsia"/>
              <w:noProof/>
              <w:color w:val="222A35" w:themeColor="text2" w:themeShade="80"/>
              <w:lang w:eastAsia="en-AU"/>
            </w:rPr>
          </w:pPr>
          <w:hyperlink w:anchor="_Toc52796198" w:history="1">
            <w:r w:rsidR="00AD25F3" w:rsidRPr="006E3D8D">
              <w:rPr>
                <w:rStyle w:val="Hyperlink"/>
                <w:noProof/>
                <w:color w:val="222A35" w:themeColor="text2" w:themeShade="80"/>
              </w:rPr>
              <w:t>Workers’ Compensation (Reference 37)</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_Toc52796198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74</w:t>
            </w:r>
            <w:r w:rsidR="00AD25F3" w:rsidRPr="006E3D8D">
              <w:rPr>
                <w:noProof/>
                <w:webHidden/>
                <w:color w:val="222A35" w:themeColor="text2" w:themeShade="80"/>
              </w:rPr>
              <w:fldChar w:fldCharType="end"/>
            </w:r>
          </w:hyperlink>
        </w:p>
        <w:p w14:paraId="031D72F3" w14:textId="0A1FF772" w:rsidR="00AD25F3" w:rsidRPr="006E3D8D" w:rsidRDefault="007E3659">
          <w:pPr>
            <w:pStyle w:val="TOC1"/>
            <w:tabs>
              <w:tab w:val="right" w:leader="dot" w:pos="9016"/>
            </w:tabs>
            <w:rPr>
              <w:rFonts w:eastAsiaTheme="minorEastAsia"/>
              <w:noProof/>
              <w:color w:val="222A35" w:themeColor="text2" w:themeShade="80"/>
              <w:lang w:eastAsia="en-AU"/>
            </w:rPr>
          </w:pPr>
          <w:hyperlink w:anchor="_Toc52796199" w:history="1">
            <w:r w:rsidR="00AD25F3" w:rsidRPr="006E3D8D">
              <w:rPr>
                <w:rStyle w:val="Hyperlink"/>
                <w:noProof/>
                <w:color w:val="222A35" w:themeColor="text2" w:themeShade="80"/>
              </w:rPr>
              <w:t>Student Resource Package — School Specific Programs</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_Toc52796199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76</w:t>
            </w:r>
            <w:r w:rsidR="00AD25F3" w:rsidRPr="006E3D8D">
              <w:rPr>
                <w:noProof/>
                <w:webHidden/>
                <w:color w:val="222A35" w:themeColor="text2" w:themeShade="80"/>
              </w:rPr>
              <w:fldChar w:fldCharType="end"/>
            </w:r>
          </w:hyperlink>
        </w:p>
        <w:p w14:paraId="1BCF8489" w14:textId="3FE3017D" w:rsidR="00AD25F3" w:rsidRPr="006E3D8D" w:rsidRDefault="007E3659">
          <w:pPr>
            <w:pStyle w:val="TOC2"/>
            <w:rPr>
              <w:rFonts w:eastAsiaTheme="minorEastAsia"/>
              <w:noProof/>
              <w:color w:val="222A35" w:themeColor="text2" w:themeShade="80"/>
              <w:lang w:eastAsia="en-AU"/>
            </w:rPr>
          </w:pPr>
          <w:hyperlink w:anchor="_Toc52796200" w:history="1">
            <w:r w:rsidR="00AD25F3" w:rsidRPr="006E3D8D">
              <w:rPr>
                <w:rStyle w:val="Hyperlink"/>
                <w:noProof/>
                <w:color w:val="222A35" w:themeColor="text2" w:themeShade="80"/>
              </w:rPr>
              <w:t>P-12 Complexity Allowance (Reference 38)</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_Toc52796200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77</w:t>
            </w:r>
            <w:r w:rsidR="00AD25F3" w:rsidRPr="006E3D8D">
              <w:rPr>
                <w:noProof/>
                <w:webHidden/>
                <w:color w:val="222A35" w:themeColor="text2" w:themeShade="80"/>
              </w:rPr>
              <w:fldChar w:fldCharType="end"/>
            </w:r>
          </w:hyperlink>
        </w:p>
        <w:p w14:paraId="031C2E5A" w14:textId="6197F90A" w:rsidR="00AD25F3" w:rsidRPr="006E3D8D" w:rsidRDefault="007E3659">
          <w:pPr>
            <w:pStyle w:val="TOC2"/>
            <w:rPr>
              <w:rFonts w:eastAsiaTheme="minorEastAsia"/>
              <w:noProof/>
              <w:color w:val="222A35" w:themeColor="text2" w:themeShade="80"/>
              <w:lang w:eastAsia="en-AU"/>
            </w:rPr>
          </w:pPr>
          <w:hyperlink w:anchor="_Toc52796201" w:history="1">
            <w:r w:rsidR="00AD25F3" w:rsidRPr="006E3D8D">
              <w:rPr>
                <w:rStyle w:val="Hyperlink"/>
                <w:noProof/>
                <w:color w:val="222A35" w:themeColor="text2" w:themeShade="80"/>
              </w:rPr>
              <w:t>Location Index funding (Reference 39)</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_Toc52796201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78</w:t>
            </w:r>
            <w:r w:rsidR="00AD25F3" w:rsidRPr="006E3D8D">
              <w:rPr>
                <w:noProof/>
                <w:webHidden/>
                <w:color w:val="222A35" w:themeColor="text2" w:themeShade="80"/>
              </w:rPr>
              <w:fldChar w:fldCharType="end"/>
            </w:r>
          </w:hyperlink>
        </w:p>
        <w:p w14:paraId="6B2AEE1C" w14:textId="477445DD" w:rsidR="00AD25F3" w:rsidRPr="006E3D8D" w:rsidRDefault="007E3659">
          <w:pPr>
            <w:pStyle w:val="TOC2"/>
            <w:rPr>
              <w:rFonts w:eastAsiaTheme="minorEastAsia"/>
              <w:noProof/>
              <w:color w:val="222A35" w:themeColor="text2" w:themeShade="80"/>
              <w:lang w:eastAsia="en-AU"/>
            </w:rPr>
          </w:pPr>
          <w:hyperlink w:anchor="_Toc52796202" w:history="1">
            <w:r w:rsidR="00AD25F3" w:rsidRPr="006E3D8D">
              <w:rPr>
                <w:rStyle w:val="Hyperlink"/>
                <w:noProof/>
                <w:color w:val="222A35" w:themeColor="text2" w:themeShade="80"/>
              </w:rPr>
              <w:t>MARC/MACC Teachers and Science and Technology (Reference 40)</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_Toc52796202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81</w:t>
            </w:r>
            <w:r w:rsidR="00AD25F3" w:rsidRPr="006E3D8D">
              <w:rPr>
                <w:noProof/>
                <w:webHidden/>
                <w:color w:val="222A35" w:themeColor="text2" w:themeShade="80"/>
              </w:rPr>
              <w:fldChar w:fldCharType="end"/>
            </w:r>
          </w:hyperlink>
        </w:p>
        <w:p w14:paraId="68FDA9F3" w14:textId="50269CDE" w:rsidR="00AD25F3" w:rsidRPr="006E3D8D" w:rsidRDefault="007E3659">
          <w:pPr>
            <w:pStyle w:val="TOC2"/>
            <w:rPr>
              <w:rFonts w:eastAsiaTheme="minorEastAsia"/>
              <w:noProof/>
              <w:color w:val="222A35" w:themeColor="text2" w:themeShade="80"/>
              <w:lang w:eastAsia="en-AU"/>
            </w:rPr>
          </w:pPr>
          <w:hyperlink w:anchor="_Toc52796203" w:history="1">
            <w:r w:rsidR="00AD25F3" w:rsidRPr="006E3D8D">
              <w:rPr>
                <w:rStyle w:val="Hyperlink"/>
                <w:noProof/>
                <w:color w:val="222A35" w:themeColor="text2" w:themeShade="80"/>
              </w:rPr>
              <w:t>Instrumental Music Programs (Reference 41)</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_Toc52796203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82</w:t>
            </w:r>
            <w:r w:rsidR="00AD25F3" w:rsidRPr="006E3D8D">
              <w:rPr>
                <w:noProof/>
                <w:webHidden/>
                <w:color w:val="222A35" w:themeColor="text2" w:themeShade="80"/>
              </w:rPr>
              <w:fldChar w:fldCharType="end"/>
            </w:r>
          </w:hyperlink>
        </w:p>
        <w:p w14:paraId="666DB0E8" w14:textId="4A68A26B" w:rsidR="00AD25F3" w:rsidRPr="006E3D8D" w:rsidRDefault="007E3659">
          <w:pPr>
            <w:pStyle w:val="TOC2"/>
            <w:rPr>
              <w:rFonts w:eastAsiaTheme="minorEastAsia"/>
              <w:noProof/>
              <w:color w:val="222A35" w:themeColor="text2" w:themeShade="80"/>
              <w:lang w:eastAsia="en-AU"/>
            </w:rPr>
          </w:pPr>
          <w:hyperlink w:anchor="_Toc52796204" w:history="1">
            <w:r w:rsidR="00AD25F3" w:rsidRPr="006E3D8D">
              <w:rPr>
                <w:rStyle w:val="Hyperlink"/>
                <w:noProof/>
                <w:color w:val="222A35" w:themeColor="text2" w:themeShade="80"/>
              </w:rPr>
              <w:t>Language assistants (Reference 42)</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_Toc52796204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83</w:t>
            </w:r>
            <w:r w:rsidR="00AD25F3" w:rsidRPr="006E3D8D">
              <w:rPr>
                <w:noProof/>
                <w:webHidden/>
                <w:color w:val="222A35" w:themeColor="text2" w:themeShade="80"/>
              </w:rPr>
              <w:fldChar w:fldCharType="end"/>
            </w:r>
          </w:hyperlink>
        </w:p>
        <w:p w14:paraId="1928A820" w14:textId="10E54A31" w:rsidR="00AD25F3" w:rsidRPr="006E3D8D" w:rsidRDefault="007E3659">
          <w:pPr>
            <w:pStyle w:val="TOC2"/>
            <w:rPr>
              <w:rFonts w:eastAsiaTheme="minorEastAsia"/>
              <w:noProof/>
              <w:color w:val="222A35" w:themeColor="text2" w:themeShade="80"/>
              <w:lang w:eastAsia="en-AU"/>
            </w:rPr>
          </w:pPr>
          <w:hyperlink w:anchor="_Toc52796205" w:history="1">
            <w:r w:rsidR="00AD25F3" w:rsidRPr="006E3D8D">
              <w:rPr>
                <w:rStyle w:val="Hyperlink"/>
                <w:noProof/>
                <w:color w:val="222A35" w:themeColor="text2" w:themeShade="80"/>
              </w:rPr>
              <w:t>Bus coordination (Reference 43)</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_Toc52796205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84</w:t>
            </w:r>
            <w:r w:rsidR="00AD25F3" w:rsidRPr="006E3D8D">
              <w:rPr>
                <w:noProof/>
                <w:webHidden/>
                <w:color w:val="222A35" w:themeColor="text2" w:themeShade="80"/>
              </w:rPr>
              <w:fldChar w:fldCharType="end"/>
            </w:r>
          </w:hyperlink>
        </w:p>
        <w:p w14:paraId="47C6800F" w14:textId="733FBDAC" w:rsidR="00AD25F3" w:rsidRPr="006E3D8D" w:rsidRDefault="007E3659">
          <w:pPr>
            <w:pStyle w:val="TOC2"/>
            <w:rPr>
              <w:rFonts w:eastAsiaTheme="minorEastAsia"/>
              <w:noProof/>
              <w:color w:val="222A35" w:themeColor="text2" w:themeShade="80"/>
              <w:lang w:eastAsia="en-AU"/>
            </w:rPr>
          </w:pPr>
          <w:hyperlink w:anchor="_Toc52796206" w:history="1">
            <w:r w:rsidR="00AD25F3" w:rsidRPr="006E3D8D">
              <w:rPr>
                <w:rStyle w:val="Hyperlink"/>
                <w:noProof/>
                <w:color w:val="222A35" w:themeColor="text2" w:themeShade="80"/>
              </w:rPr>
              <w:t>Country Area Program Grant (Reference 45)</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_Toc52796206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85</w:t>
            </w:r>
            <w:r w:rsidR="00AD25F3" w:rsidRPr="006E3D8D">
              <w:rPr>
                <w:noProof/>
                <w:webHidden/>
                <w:color w:val="222A35" w:themeColor="text2" w:themeShade="80"/>
              </w:rPr>
              <w:fldChar w:fldCharType="end"/>
            </w:r>
          </w:hyperlink>
        </w:p>
        <w:p w14:paraId="252B8E47" w14:textId="1EA7FE68" w:rsidR="00AD25F3" w:rsidRPr="006E3D8D" w:rsidRDefault="007E3659">
          <w:pPr>
            <w:pStyle w:val="TOC2"/>
            <w:rPr>
              <w:rFonts w:eastAsiaTheme="minorEastAsia"/>
              <w:noProof/>
              <w:color w:val="222A35" w:themeColor="text2" w:themeShade="80"/>
              <w:lang w:eastAsia="en-AU"/>
            </w:rPr>
          </w:pPr>
          <w:hyperlink w:anchor="_Toc52796207" w:history="1">
            <w:r w:rsidR="00AD25F3" w:rsidRPr="006E3D8D">
              <w:rPr>
                <w:rStyle w:val="Hyperlink"/>
                <w:noProof/>
                <w:color w:val="222A35" w:themeColor="text2" w:themeShade="80"/>
              </w:rPr>
              <w:t>MARC/MACC Grant (Reference 46)</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_Toc52796207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87</w:t>
            </w:r>
            <w:r w:rsidR="00AD25F3" w:rsidRPr="006E3D8D">
              <w:rPr>
                <w:noProof/>
                <w:webHidden/>
                <w:color w:val="222A35" w:themeColor="text2" w:themeShade="80"/>
              </w:rPr>
              <w:fldChar w:fldCharType="end"/>
            </w:r>
          </w:hyperlink>
        </w:p>
        <w:p w14:paraId="12FDF092" w14:textId="206E2DD2" w:rsidR="00AD25F3" w:rsidRPr="006E3D8D" w:rsidRDefault="007E3659">
          <w:pPr>
            <w:pStyle w:val="TOC2"/>
            <w:rPr>
              <w:rFonts w:eastAsiaTheme="minorEastAsia"/>
              <w:noProof/>
              <w:color w:val="222A35" w:themeColor="text2" w:themeShade="80"/>
              <w:lang w:eastAsia="en-AU"/>
            </w:rPr>
          </w:pPr>
          <w:hyperlink w:anchor="_Toc52796208" w:history="1">
            <w:r w:rsidR="00AD25F3" w:rsidRPr="006E3D8D">
              <w:rPr>
                <w:rStyle w:val="Hyperlink"/>
                <w:noProof/>
                <w:color w:val="222A35" w:themeColor="text2" w:themeShade="80"/>
              </w:rPr>
              <w:t>Alternative Settings Teachers (Reference 47)</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_Toc52796208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88</w:t>
            </w:r>
            <w:r w:rsidR="00AD25F3" w:rsidRPr="006E3D8D">
              <w:rPr>
                <w:noProof/>
                <w:webHidden/>
                <w:color w:val="222A35" w:themeColor="text2" w:themeShade="80"/>
              </w:rPr>
              <w:fldChar w:fldCharType="end"/>
            </w:r>
          </w:hyperlink>
        </w:p>
        <w:p w14:paraId="3302BC0D" w14:textId="0CFA2647" w:rsidR="00AD25F3" w:rsidRPr="006E3D8D" w:rsidRDefault="007E3659">
          <w:pPr>
            <w:pStyle w:val="TOC2"/>
            <w:rPr>
              <w:rFonts w:eastAsiaTheme="minorEastAsia"/>
              <w:noProof/>
              <w:color w:val="222A35" w:themeColor="text2" w:themeShade="80"/>
              <w:lang w:eastAsia="en-AU"/>
            </w:rPr>
          </w:pPr>
          <w:hyperlink w:anchor="_Toc52796209" w:history="1">
            <w:r w:rsidR="00AD25F3" w:rsidRPr="006E3D8D">
              <w:rPr>
                <w:rStyle w:val="Hyperlink"/>
                <w:noProof/>
                <w:color w:val="222A35" w:themeColor="text2" w:themeShade="80"/>
              </w:rPr>
              <w:t>Ancillary Settings Teachers (Reference 48)</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_Toc52796209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89</w:t>
            </w:r>
            <w:r w:rsidR="00AD25F3" w:rsidRPr="006E3D8D">
              <w:rPr>
                <w:noProof/>
                <w:webHidden/>
                <w:color w:val="222A35" w:themeColor="text2" w:themeShade="80"/>
              </w:rPr>
              <w:fldChar w:fldCharType="end"/>
            </w:r>
          </w:hyperlink>
        </w:p>
        <w:p w14:paraId="0AF4FC3E" w14:textId="50AFC364" w:rsidR="00AD25F3" w:rsidRPr="006E3D8D" w:rsidRDefault="007E3659">
          <w:pPr>
            <w:pStyle w:val="TOC2"/>
            <w:rPr>
              <w:rFonts w:eastAsiaTheme="minorEastAsia"/>
              <w:noProof/>
              <w:color w:val="222A35" w:themeColor="text2" w:themeShade="80"/>
              <w:lang w:eastAsia="en-AU"/>
            </w:rPr>
          </w:pPr>
          <w:hyperlink w:anchor="_Toc52796210" w:history="1">
            <w:r w:rsidR="00AD25F3" w:rsidRPr="006E3D8D">
              <w:rPr>
                <w:rStyle w:val="Hyperlink"/>
                <w:noProof/>
                <w:color w:val="222A35" w:themeColor="text2" w:themeShade="80"/>
              </w:rPr>
              <w:t>Alternative programs — regional grants (Reference 49)</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_Toc52796210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90</w:t>
            </w:r>
            <w:r w:rsidR="00AD25F3" w:rsidRPr="006E3D8D">
              <w:rPr>
                <w:noProof/>
                <w:webHidden/>
                <w:color w:val="222A35" w:themeColor="text2" w:themeShade="80"/>
              </w:rPr>
              <w:fldChar w:fldCharType="end"/>
            </w:r>
          </w:hyperlink>
        </w:p>
        <w:p w14:paraId="737D8EDE" w14:textId="4616F950" w:rsidR="00AD25F3" w:rsidRPr="006E3D8D" w:rsidRDefault="007E3659">
          <w:pPr>
            <w:pStyle w:val="TOC2"/>
            <w:rPr>
              <w:rFonts w:eastAsiaTheme="minorEastAsia"/>
              <w:noProof/>
              <w:color w:val="222A35" w:themeColor="text2" w:themeShade="80"/>
              <w:lang w:eastAsia="en-AU"/>
            </w:rPr>
          </w:pPr>
          <w:hyperlink w:anchor="_Toc52796211" w:history="1">
            <w:r w:rsidR="00AD25F3" w:rsidRPr="006E3D8D">
              <w:rPr>
                <w:rStyle w:val="Hyperlink"/>
                <w:noProof/>
                <w:color w:val="222A35" w:themeColor="text2" w:themeShade="80"/>
              </w:rPr>
              <w:t>Joint Community Program (Reference 123)</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_Toc52796211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91</w:t>
            </w:r>
            <w:r w:rsidR="00AD25F3" w:rsidRPr="006E3D8D">
              <w:rPr>
                <w:noProof/>
                <w:webHidden/>
                <w:color w:val="222A35" w:themeColor="text2" w:themeShade="80"/>
              </w:rPr>
              <w:fldChar w:fldCharType="end"/>
            </w:r>
          </w:hyperlink>
        </w:p>
        <w:p w14:paraId="32DECB44" w14:textId="1371590E" w:rsidR="00AD25F3" w:rsidRPr="006E3D8D" w:rsidRDefault="007E3659">
          <w:pPr>
            <w:pStyle w:val="TOC1"/>
            <w:tabs>
              <w:tab w:val="right" w:leader="dot" w:pos="9016"/>
            </w:tabs>
            <w:rPr>
              <w:rFonts w:eastAsiaTheme="minorEastAsia"/>
              <w:noProof/>
              <w:color w:val="222A35" w:themeColor="text2" w:themeShade="80"/>
              <w:lang w:eastAsia="en-AU"/>
            </w:rPr>
          </w:pPr>
          <w:hyperlink w:anchor="_Toc52796212" w:history="1">
            <w:r w:rsidR="00AD25F3" w:rsidRPr="006E3D8D">
              <w:rPr>
                <w:rStyle w:val="Hyperlink"/>
                <w:noProof/>
                <w:color w:val="222A35" w:themeColor="text2" w:themeShade="80"/>
              </w:rPr>
              <w:t>Student Resource Package — Targeted Initiatives</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_Toc52796212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92</w:t>
            </w:r>
            <w:r w:rsidR="00AD25F3" w:rsidRPr="006E3D8D">
              <w:rPr>
                <w:noProof/>
                <w:webHidden/>
                <w:color w:val="222A35" w:themeColor="text2" w:themeShade="80"/>
              </w:rPr>
              <w:fldChar w:fldCharType="end"/>
            </w:r>
          </w:hyperlink>
        </w:p>
        <w:p w14:paraId="2828C9D8" w14:textId="3A0CA57A" w:rsidR="00AD25F3" w:rsidRPr="006E3D8D" w:rsidRDefault="007E3659">
          <w:pPr>
            <w:pStyle w:val="TOC2"/>
            <w:rPr>
              <w:rFonts w:eastAsiaTheme="minorEastAsia"/>
              <w:noProof/>
              <w:color w:val="222A35" w:themeColor="text2" w:themeShade="80"/>
              <w:lang w:eastAsia="en-AU"/>
            </w:rPr>
          </w:pPr>
          <w:hyperlink w:anchor="_Toc52796213" w:history="1">
            <w:r w:rsidR="00AD25F3" w:rsidRPr="006E3D8D">
              <w:rPr>
                <w:rStyle w:val="Hyperlink"/>
                <w:noProof/>
                <w:color w:val="222A35" w:themeColor="text2" w:themeShade="80"/>
              </w:rPr>
              <w:t>Primary Welfare (Reference 50)</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_Toc52796213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93</w:t>
            </w:r>
            <w:r w:rsidR="00AD25F3" w:rsidRPr="006E3D8D">
              <w:rPr>
                <w:noProof/>
                <w:webHidden/>
                <w:color w:val="222A35" w:themeColor="text2" w:themeShade="80"/>
              </w:rPr>
              <w:fldChar w:fldCharType="end"/>
            </w:r>
          </w:hyperlink>
        </w:p>
        <w:p w14:paraId="3FD42AA7" w14:textId="78F07200" w:rsidR="00AD25F3" w:rsidRPr="006E3D8D" w:rsidRDefault="007E3659">
          <w:pPr>
            <w:pStyle w:val="TOC2"/>
            <w:rPr>
              <w:rFonts w:eastAsiaTheme="minorEastAsia"/>
              <w:noProof/>
              <w:color w:val="222A35" w:themeColor="text2" w:themeShade="80"/>
              <w:lang w:eastAsia="en-AU"/>
            </w:rPr>
          </w:pPr>
          <w:hyperlink w:anchor="_Toc52796214" w:history="1">
            <w:r w:rsidR="00AD25F3" w:rsidRPr="006E3D8D">
              <w:rPr>
                <w:rStyle w:val="Hyperlink"/>
                <w:noProof/>
                <w:color w:val="222A35" w:themeColor="text2" w:themeShade="80"/>
              </w:rPr>
              <w:t>Vocational Education and Training Delivered to Secondary School Students (Reference 56)</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_Toc52796214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95</w:t>
            </w:r>
            <w:r w:rsidR="00AD25F3" w:rsidRPr="006E3D8D">
              <w:rPr>
                <w:noProof/>
                <w:webHidden/>
                <w:color w:val="222A35" w:themeColor="text2" w:themeShade="80"/>
              </w:rPr>
              <w:fldChar w:fldCharType="end"/>
            </w:r>
          </w:hyperlink>
        </w:p>
        <w:p w14:paraId="49751193" w14:textId="0C9E1F58" w:rsidR="00AD25F3" w:rsidRPr="006E3D8D" w:rsidRDefault="007E3659">
          <w:pPr>
            <w:pStyle w:val="TOC2"/>
            <w:rPr>
              <w:rFonts w:eastAsiaTheme="minorEastAsia"/>
              <w:noProof/>
              <w:color w:val="222A35" w:themeColor="text2" w:themeShade="80"/>
              <w:lang w:eastAsia="en-AU"/>
            </w:rPr>
          </w:pPr>
          <w:hyperlink w:anchor="_Toc52796215" w:history="1">
            <w:r w:rsidR="00AD25F3" w:rsidRPr="006E3D8D">
              <w:rPr>
                <w:rStyle w:val="Hyperlink"/>
                <w:noProof/>
                <w:color w:val="222A35" w:themeColor="text2" w:themeShade="80"/>
              </w:rPr>
              <w:t>Doctors in Secondary Schools — School program lead funding (Reference 64)</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_Toc52796215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105</w:t>
            </w:r>
            <w:r w:rsidR="00AD25F3" w:rsidRPr="006E3D8D">
              <w:rPr>
                <w:noProof/>
                <w:webHidden/>
                <w:color w:val="222A35" w:themeColor="text2" w:themeShade="80"/>
              </w:rPr>
              <w:fldChar w:fldCharType="end"/>
            </w:r>
          </w:hyperlink>
        </w:p>
        <w:p w14:paraId="2B300421" w14:textId="74008B8C" w:rsidR="00AD25F3" w:rsidRPr="006E3D8D" w:rsidRDefault="007E3659">
          <w:pPr>
            <w:pStyle w:val="TOC2"/>
            <w:rPr>
              <w:rFonts w:eastAsiaTheme="minorEastAsia"/>
              <w:noProof/>
              <w:color w:val="222A35" w:themeColor="text2" w:themeShade="80"/>
              <w:lang w:eastAsia="en-AU"/>
            </w:rPr>
          </w:pPr>
          <w:hyperlink w:anchor="_Toc52796216" w:history="1">
            <w:r w:rsidR="00AD25F3" w:rsidRPr="006E3D8D">
              <w:rPr>
                <w:rStyle w:val="Hyperlink"/>
                <w:noProof/>
                <w:color w:val="222A35" w:themeColor="text2" w:themeShade="80"/>
              </w:rPr>
              <w:t>Career Education Funding (Ref 91)</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_Toc52796216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107</w:t>
            </w:r>
            <w:r w:rsidR="00AD25F3" w:rsidRPr="006E3D8D">
              <w:rPr>
                <w:noProof/>
                <w:webHidden/>
                <w:color w:val="222A35" w:themeColor="text2" w:themeShade="80"/>
              </w:rPr>
              <w:fldChar w:fldCharType="end"/>
            </w:r>
          </w:hyperlink>
        </w:p>
        <w:p w14:paraId="6C1B23A7" w14:textId="1123B7E8" w:rsidR="00AD25F3" w:rsidRPr="006E3D8D" w:rsidRDefault="007E3659">
          <w:pPr>
            <w:pStyle w:val="TOC2"/>
            <w:rPr>
              <w:rFonts w:eastAsiaTheme="minorEastAsia"/>
              <w:noProof/>
              <w:color w:val="222A35" w:themeColor="text2" w:themeShade="80"/>
              <w:lang w:eastAsia="en-AU"/>
            </w:rPr>
          </w:pPr>
          <w:hyperlink w:anchor="_Toc52796217" w:history="1">
            <w:r w:rsidR="00AD25F3" w:rsidRPr="006E3D8D">
              <w:rPr>
                <w:rStyle w:val="Hyperlink"/>
                <w:noProof/>
                <w:color w:val="222A35" w:themeColor="text2" w:themeShade="80"/>
              </w:rPr>
              <w:t>Head Start (Reference 116)</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_Toc52796217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110</w:t>
            </w:r>
            <w:r w:rsidR="00AD25F3" w:rsidRPr="006E3D8D">
              <w:rPr>
                <w:noProof/>
                <w:webHidden/>
                <w:color w:val="222A35" w:themeColor="text2" w:themeShade="80"/>
              </w:rPr>
              <w:fldChar w:fldCharType="end"/>
            </w:r>
          </w:hyperlink>
        </w:p>
        <w:p w14:paraId="6833AA50" w14:textId="3610F3D9" w:rsidR="00AD25F3" w:rsidRPr="006E3D8D" w:rsidRDefault="007E3659">
          <w:pPr>
            <w:pStyle w:val="TOC2"/>
            <w:rPr>
              <w:rFonts w:eastAsiaTheme="minorEastAsia"/>
              <w:noProof/>
              <w:color w:val="222A35" w:themeColor="text2" w:themeShade="80"/>
              <w:lang w:eastAsia="en-AU"/>
            </w:rPr>
          </w:pPr>
          <w:hyperlink w:anchor="_Toc52796218" w:history="1">
            <w:r w:rsidR="00AD25F3" w:rsidRPr="006E3D8D">
              <w:rPr>
                <w:rStyle w:val="Hyperlink"/>
                <w:noProof/>
                <w:color w:val="222A35" w:themeColor="text2" w:themeShade="80"/>
              </w:rPr>
              <w:t>Middle Years Literacy and Numeracy Support Initiative (Ref 118)</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_Toc52796218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111</w:t>
            </w:r>
            <w:r w:rsidR="00AD25F3" w:rsidRPr="006E3D8D">
              <w:rPr>
                <w:noProof/>
                <w:webHidden/>
                <w:color w:val="222A35" w:themeColor="text2" w:themeShade="80"/>
              </w:rPr>
              <w:fldChar w:fldCharType="end"/>
            </w:r>
          </w:hyperlink>
        </w:p>
        <w:p w14:paraId="2119A797" w14:textId="6AC22524" w:rsidR="00AD25F3" w:rsidRPr="006E3D8D" w:rsidRDefault="007E3659">
          <w:pPr>
            <w:pStyle w:val="TOC2"/>
            <w:rPr>
              <w:rFonts w:eastAsiaTheme="minorEastAsia"/>
              <w:noProof/>
              <w:color w:val="222A35" w:themeColor="text2" w:themeShade="80"/>
              <w:lang w:eastAsia="en-AU"/>
            </w:rPr>
          </w:pPr>
          <w:hyperlink w:anchor="_Toc52796219" w:history="1">
            <w:r w:rsidR="00AD25F3" w:rsidRPr="006E3D8D">
              <w:rPr>
                <w:rStyle w:val="Hyperlink"/>
                <w:noProof/>
                <w:color w:val="222A35" w:themeColor="text2" w:themeShade="80"/>
              </w:rPr>
              <w:t>Student Excellence Program Funding (Ref 120)</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_Toc52796219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113</w:t>
            </w:r>
            <w:r w:rsidR="00AD25F3" w:rsidRPr="006E3D8D">
              <w:rPr>
                <w:noProof/>
                <w:webHidden/>
                <w:color w:val="222A35" w:themeColor="text2" w:themeShade="80"/>
              </w:rPr>
              <w:fldChar w:fldCharType="end"/>
            </w:r>
          </w:hyperlink>
        </w:p>
        <w:p w14:paraId="703F0E3D" w14:textId="23DAD786" w:rsidR="00AD25F3" w:rsidRPr="006E3D8D" w:rsidRDefault="007E3659">
          <w:pPr>
            <w:pStyle w:val="TOC2"/>
            <w:rPr>
              <w:rFonts w:eastAsiaTheme="minorEastAsia"/>
              <w:noProof/>
              <w:color w:val="222A35" w:themeColor="text2" w:themeShade="80"/>
              <w:lang w:eastAsia="en-AU"/>
            </w:rPr>
          </w:pPr>
          <w:hyperlink w:anchor="_Toc52796220" w:history="1">
            <w:r w:rsidR="00AD25F3" w:rsidRPr="006E3D8D">
              <w:rPr>
                <w:rStyle w:val="Hyperlink"/>
                <w:noProof/>
                <w:color w:val="222A35" w:themeColor="text2" w:themeShade="80"/>
              </w:rPr>
              <w:t>VCE Revision Lectures (Ref 121)</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_Toc52796220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116</w:t>
            </w:r>
            <w:r w:rsidR="00AD25F3" w:rsidRPr="006E3D8D">
              <w:rPr>
                <w:noProof/>
                <w:webHidden/>
                <w:color w:val="222A35" w:themeColor="text2" w:themeShade="80"/>
              </w:rPr>
              <w:fldChar w:fldCharType="end"/>
            </w:r>
          </w:hyperlink>
        </w:p>
        <w:p w14:paraId="3E1237D1" w14:textId="578088C4" w:rsidR="00AD25F3" w:rsidRPr="006E3D8D" w:rsidRDefault="007E3659">
          <w:pPr>
            <w:pStyle w:val="TOC2"/>
            <w:rPr>
              <w:rFonts w:eastAsiaTheme="minorEastAsia"/>
              <w:noProof/>
              <w:color w:val="222A35" w:themeColor="text2" w:themeShade="80"/>
              <w:lang w:eastAsia="en-AU"/>
            </w:rPr>
          </w:pPr>
          <w:hyperlink w:anchor="_Toc52796221" w:history="1">
            <w:r w:rsidR="00AD25F3" w:rsidRPr="006E3D8D">
              <w:rPr>
                <w:rStyle w:val="Hyperlink"/>
                <w:noProof/>
                <w:color w:val="222A35" w:themeColor="text2" w:themeShade="80"/>
              </w:rPr>
              <w:t>Professional Learning Communities (PLC) Link Schools (Ref 122)</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_Toc52796221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118</w:t>
            </w:r>
            <w:r w:rsidR="00AD25F3" w:rsidRPr="006E3D8D">
              <w:rPr>
                <w:noProof/>
                <w:webHidden/>
                <w:color w:val="222A35" w:themeColor="text2" w:themeShade="80"/>
              </w:rPr>
              <w:fldChar w:fldCharType="end"/>
            </w:r>
          </w:hyperlink>
        </w:p>
        <w:p w14:paraId="5BF417ED" w14:textId="59C4C9DA" w:rsidR="00AD25F3" w:rsidRPr="006E3D8D" w:rsidRDefault="007E3659">
          <w:pPr>
            <w:pStyle w:val="TOC2"/>
            <w:rPr>
              <w:rFonts w:eastAsiaTheme="minorEastAsia"/>
              <w:noProof/>
              <w:color w:val="222A35" w:themeColor="text2" w:themeShade="80"/>
              <w:lang w:eastAsia="en-AU"/>
            </w:rPr>
          </w:pPr>
          <w:hyperlink w:anchor="_Toc52796222" w:history="1">
            <w:r w:rsidR="00AD25F3" w:rsidRPr="006E3D8D">
              <w:rPr>
                <w:rStyle w:val="Hyperlink"/>
                <w:noProof/>
                <w:color w:val="222A35" w:themeColor="text2" w:themeShade="80"/>
              </w:rPr>
              <w:t>Transition Funding (Rural) (Ref 126)</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_Toc52796222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119</w:t>
            </w:r>
            <w:r w:rsidR="00AD25F3" w:rsidRPr="006E3D8D">
              <w:rPr>
                <w:noProof/>
                <w:webHidden/>
                <w:color w:val="222A35" w:themeColor="text2" w:themeShade="80"/>
              </w:rPr>
              <w:fldChar w:fldCharType="end"/>
            </w:r>
          </w:hyperlink>
        </w:p>
        <w:p w14:paraId="3E46D87B" w14:textId="499AFA90" w:rsidR="00AD25F3" w:rsidRPr="006E3D8D" w:rsidRDefault="007E3659">
          <w:pPr>
            <w:pStyle w:val="TOC1"/>
            <w:tabs>
              <w:tab w:val="right" w:leader="dot" w:pos="9016"/>
            </w:tabs>
            <w:rPr>
              <w:rFonts w:eastAsiaTheme="minorEastAsia"/>
              <w:noProof/>
              <w:color w:val="222A35" w:themeColor="text2" w:themeShade="80"/>
              <w:lang w:eastAsia="en-AU"/>
            </w:rPr>
          </w:pPr>
          <w:hyperlink w:anchor="_Toc52796223" w:history="1">
            <w:r w:rsidR="00AD25F3" w:rsidRPr="006E3D8D">
              <w:rPr>
                <w:rStyle w:val="Hyperlink"/>
                <w:noProof/>
                <w:color w:val="222A35" w:themeColor="text2" w:themeShade="80"/>
              </w:rPr>
              <w:t>Student Resource Package — Managing the Budget</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_Toc52796223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121</w:t>
            </w:r>
            <w:r w:rsidR="00AD25F3" w:rsidRPr="006E3D8D">
              <w:rPr>
                <w:noProof/>
                <w:webHidden/>
                <w:color w:val="222A35" w:themeColor="text2" w:themeShade="80"/>
              </w:rPr>
              <w:fldChar w:fldCharType="end"/>
            </w:r>
          </w:hyperlink>
        </w:p>
        <w:p w14:paraId="3EEBCA6A" w14:textId="5EFC80E9" w:rsidR="00AD25F3" w:rsidRPr="006E3D8D" w:rsidRDefault="007E3659">
          <w:pPr>
            <w:pStyle w:val="TOC2"/>
            <w:rPr>
              <w:rFonts w:eastAsiaTheme="minorEastAsia"/>
              <w:noProof/>
              <w:color w:val="222A35" w:themeColor="text2" w:themeShade="80"/>
              <w:lang w:eastAsia="en-AU"/>
            </w:rPr>
          </w:pPr>
          <w:hyperlink w:anchor="_Toc52796224" w:history="1">
            <w:r w:rsidR="00AD25F3" w:rsidRPr="006E3D8D">
              <w:rPr>
                <w:rStyle w:val="Hyperlink"/>
                <w:noProof/>
                <w:color w:val="222A35" w:themeColor="text2" w:themeShade="80"/>
              </w:rPr>
              <w:t>Salary and Related Expenditure</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_Toc52796224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123</w:t>
            </w:r>
            <w:r w:rsidR="00AD25F3" w:rsidRPr="006E3D8D">
              <w:rPr>
                <w:noProof/>
                <w:webHidden/>
                <w:color w:val="222A35" w:themeColor="text2" w:themeShade="80"/>
              </w:rPr>
              <w:fldChar w:fldCharType="end"/>
            </w:r>
          </w:hyperlink>
        </w:p>
        <w:p w14:paraId="76C11547" w14:textId="355E2538" w:rsidR="00AD25F3" w:rsidRPr="006E3D8D" w:rsidRDefault="007E3659">
          <w:pPr>
            <w:pStyle w:val="TOC2"/>
            <w:rPr>
              <w:rFonts w:eastAsiaTheme="minorEastAsia"/>
              <w:noProof/>
              <w:color w:val="222A35" w:themeColor="text2" w:themeShade="80"/>
              <w:lang w:eastAsia="en-AU"/>
            </w:rPr>
          </w:pPr>
          <w:hyperlink w:anchor="_Toc52796225" w:history="1">
            <w:r w:rsidR="00AD25F3" w:rsidRPr="006E3D8D">
              <w:rPr>
                <w:rStyle w:val="Hyperlink"/>
                <w:noProof/>
                <w:color w:val="222A35" w:themeColor="text2" w:themeShade="80"/>
              </w:rPr>
              <w:t>Relief staffing</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_Toc52796225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131</w:t>
            </w:r>
            <w:r w:rsidR="00AD25F3" w:rsidRPr="006E3D8D">
              <w:rPr>
                <w:noProof/>
                <w:webHidden/>
                <w:color w:val="222A35" w:themeColor="text2" w:themeShade="80"/>
              </w:rPr>
              <w:fldChar w:fldCharType="end"/>
            </w:r>
          </w:hyperlink>
        </w:p>
        <w:p w14:paraId="685A3DA6" w14:textId="083811CC" w:rsidR="00AD25F3" w:rsidRPr="006E3D8D" w:rsidRDefault="007E3659">
          <w:pPr>
            <w:pStyle w:val="TOC2"/>
            <w:rPr>
              <w:rFonts w:eastAsiaTheme="minorEastAsia"/>
              <w:noProof/>
              <w:color w:val="222A35" w:themeColor="text2" w:themeShade="80"/>
              <w:lang w:eastAsia="en-AU"/>
            </w:rPr>
          </w:pPr>
          <w:hyperlink w:anchor="_Toc52796226" w:history="1">
            <w:r w:rsidR="00AD25F3" w:rsidRPr="006E3D8D">
              <w:rPr>
                <w:rStyle w:val="Hyperlink"/>
                <w:noProof/>
                <w:color w:val="222A35" w:themeColor="text2" w:themeShade="80"/>
              </w:rPr>
              <w:t>Surplus or deficit</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_Toc52796226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143</w:t>
            </w:r>
            <w:r w:rsidR="00AD25F3" w:rsidRPr="006E3D8D">
              <w:rPr>
                <w:noProof/>
                <w:webHidden/>
                <w:color w:val="222A35" w:themeColor="text2" w:themeShade="80"/>
              </w:rPr>
              <w:fldChar w:fldCharType="end"/>
            </w:r>
          </w:hyperlink>
        </w:p>
        <w:p w14:paraId="68FC090E" w14:textId="209902A3" w:rsidR="00AD25F3" w:rsidRPr="006E3D8D" w:rsidRDefault="007E3659">
          <w:pPr>
            <w:pStyle w:val="TOC2"/>
            <w:rPr>
              <w:rFonts w:eastAsiaTheme="minorEastAsia"/>
              <w:noProof/>
              <w:color w:val="222A35" w:themeColor="text2" w:themeShade="80"/>
              <w:lang w:eastAsia="en-AU"/>
            </w:rPr>
          </w:pPr>
          <w:hyperlink w:anchor="_Toc52796227" w:history="1">
            <w:r w:rsidR="00AD25F3" w:rsidRPr="006E3D8D">
              <w:rPr>
                <w:rStyle w:val="Hyperlink"/>
                <w:noProof/>
                <w:color w:val="222A35" w:themeColor="text2" w:themeShade="80"/>
              </w:rPr>
              <w:t>Reports</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_Toc52796227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145</w:t>
            </w:r>
            <w:r w:rsidR="00AD25F3" w:rsidRPr="006E3D8D">
              <w:rPr>
                <w:noProof/>
                <w:webHidden/>
                <w:color w:val="222A35" w:themeColor="text2" w:themeShade="80"/>
              </w:rPr>
              <w:fldChar w:fldCharType="end"/>
            </w:r>
          </w:hyperlink>
        </w:p>
        <w:p w14:paraId="27F452AD" w14:textId="6BBB91B9" w:rsidR="00AD25F3" w:rsidRPr="006E3D8D" w:rsidRDefault="007E3659">
          <w:pPr>
            <w:pStyle w:val="TOC2"/>
            <w:rPr>
              <w:rFonts w:eastAsiaTheme="minorEastAsia"/>
              <w:noProof/>
              <w:color w:val="222A35" w:themeColor="text2" w:themeShade="80"/>
              <w:lang w:eastAsia="en-AU"/>
            </w:rPr>
          </w:pPr>
          <w:hyperlink w:anchor="_Toc52796228" w:history="1">
            <w:r w:rsidR="00AD25F3" w:rsidRPr="006E3D8D">
              <w:rPr>
                <w:rStyle w:val="Hyperlink"/>
                <w:noProof/>
                <w:color w:val="222A35" w:themeColor="text2" w:themeShade="80"/>
              </w:rPr>
              <w:t>Planning</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_Toc52796228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147</w:t>
            </w:r>
            <w:r w:rsidR="00AD25F3" w:rsidRPr="006E3D8D">
              <w:rPr>
                <w:noProof/>
                <w:webHidden/>
                <w:color w:val="222A35" w:themeColor="text2" w:themeShade="80"/>
              </w:rPr>
              <w:fldChar w:fldCharType="end"/>
            </w:r>
          </w:hyperlink>
        </w:p>
        <w:p w14:paraId="63148299" w14:textId="668BC3A4" w:rsidR="00AD25F3" w:rsidRPr="006E3D8D" w:rsidRDefault="007E3659">
          <w:pPr>
            <w:pStyle w:val="TOC2"/>
            <w:rPr>
              <w:rFonts w:eastAsiaTheme="minorEastAsia"/>
              <w:noProof/>
              <w:color w:val="222A35" w:themeColor="text2" w:themeShade="80"/>
              <w:lang w:eastAsia="en-AU"/>
            </w:rPr>
          </w:pPr>
          <w:hyperlink w:anchor="_Toc52796229" w:history="1">
            <w:r w:rsidR="00AD25F3" w:rsidRPr="006E3D8D">
              <w:rPr>
                <w:rStyle w:val="Hyperlink"/>
                <w:noProof/>
                <w:color w:val="222A35" w:themeColor="text2" w:themeShade="80"/>
              </w:rPr>
              <w:t>Reconciliation</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_Toc52796229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148</w:t>
            </w:r>
            <w:r w:rsidR="00AD25F3" w:rsidRPr="006E3D8D">
              <w:rPr>
                <w:noProof/>
                <w:webHidden/>
                <w:color w:val="222A35" w:themeColor="text2" w:themeShade="80"/>
              </w:rPr>
              <w:fldChar w:fldCharType="end"/>
            </w:r>
          </w:hyperlink>
        </w:p>
        <w:p w14:paraId="24E319ED" w14:textId="65F45D7A" w:rsidR="00AD25F3" w:rsidRPr="006E3D8D" w:rsidRDefault="007E3659">
          <w:pPr>
            <w:pStyle w:val="TOC2"/>
            <w:rPr>
              <w:rFonts w:eastAsiaTheme="minorEastAsia"/>
              <w:noProof/>
              <w:color w:val="222A35" w:themeColor="text2" w:themeShade="80"/>
              <w:lang w:eastAsia="en-AU"/>
            </w:rPr>
          </w:pPr>
          <w:hyperlink w:anchor="_Toc52796230" w:history="1">
            <w:r w:rsidR="00AD25F3" w:rsidRPr="006E3D8D">
              <w:rPr>
                <w:rStyle w:val="Hyperlink"/>
                <w:noProof/>
                <w:color w:val="222A35" w:themeColor="text2" w:themeShade="80"/>
              </w:rPr>
              <w:t>Cash</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_Toc52796230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150</w:t>
            </w:r>
            <w:r w:rsidR="00AD25F3" w:rsidRPr="006E3D8D">
              <w:rPr>
                <w:noProof/>
                <w:webHidden/>
                <w:color w:val="222A35" w:themeColor="text2" w:themeShade="80"/>
              </w:rPr>
              <w:fldChar w:fldCharType="end"/>
            </w:r>
          </w:hyperlink>
        </w:p>
        <w:p w14:paraId="3766539E" w14:textId="1EF6A002" w:rsidR="00AD25F3" w:rsidRPr="006E3D8D" w:rsidRDefault="007E3659">
          <w:pPr>
            <w:pStyle w:val="TOC2"/>
            <w:rPr>
              <w:rFonts w:eastAsiaTheme="minorEastAsia"/>
              <w:noProof/>
              <w:color w:val="222A35" w:themeColor="text2" w:themeShade="80"/>
              <w:lang w:eastAsia="en-AU"/>
            </w:rPr>
          </w:pPr>
          <w:hyperlink w:anchor="_Toc52796231" w:history="1">
            <w:r w:rsidR="00AD25F3" w:rsidRPr="006E3D8D">
              <w:rPr>
                <w:rStyle w:val="Hyperlink"/>
                <w:noProof/>
                <w:color w:val="222A35" w:themeColor="text2" w:themeShade="80"/>
              </w:rPr>
              <w:t>Deficit management and workforce bridging</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_Toc52796231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158</w:t>
            </w:r>
            <w:r w:rsidR="00AD25F3" w:rsidRPr="006E3D8D">
              <w:rPr>
                <w:noProof/>
                <w:webHidden/>
                <w:color w:val="222A35" w:themeColor="text2" w:themeShade="80"/>
              </w:rPr>
              <w:fldChar w:fldCharType="end"/>
            </w:r>
          </w:hyperlink>
        </w:p>
        <w:p w14:paraId="6BA2A8EA" w14:textId="5B1BD36B" w:rsidR="00AD25F3" w:rsidRPr="006E3D8D" w:rsidRDefault="007E3659">
          <w:pPr>
            <w:pStyle w:val="TOC2"/>
            <w:rPr>
              <w:rFonts w:eastAsiaTheme="minorEastAsia"/>
              <w:noProof/>
              <w:color w:val="222A35" w:themeColor="text2" w:themeShade="80"/>
              <w:lang w:eastAsia="en-AU"/>
            </w:rPr>
          </w:pPr>
          <w:hyperlink w:anchor="_Toc52796232" w:history="1">
            <w:r w:rsidR="00AD25F3" w:rsidRPr="006E3D8D">
              <w:rPr>
                <w:rStyle w:val="Hyperlink"/>
                <w:noProof/>
                <w:color w:val="222A35" w:themeColor="text2" w:themeShade="80"/>
              </w:rPr>
              <w:t>Principal classification budget</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_Toc52796232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162</w:t>
            </w:r>
            <w:r w:rsidR="00AD25F3" w:rsidRPr="006E3D8D">
              <w:rPr>
                <w:noProof/>
                <w:webHidden/>
                <w:color w:val="222A35" w:themeColor="text2" w:themeShade="80"/>
              </w:rPr>
              <w:fldChar w:fldCharType="end"/>
            </w:r>
          </w:hyperlink>
        </w:p>
        <w:p w14:paraId="5A371503" w14:textId="2F4C1534" w:rsidR="00AD25F3" w:rsidRPr="006E3D8D" w:rsidRDefault="007E3659">
          <w:pPr>
            <w:pStyle w:val="TOC2"/>
            <w:rPr>
              <w:rFonts w:eastAsiaTheme="minorEastAsia"/>
              <w:noProof/>
              <w:color w:val="222A35" w:themeColor="text2" w:themeShade="80"/>
              <w:lang w:eastAsia="en-AU"/>
            </w:rPr>
          </w:pPr>
          <w:hyperlink w:anchor="_Toc52796233" w:history="1">
            <w:r w:rsidR="00AD25F3" w:rsidRPr="006E3D8D">
              <w:rPr>
                <w:rStyle w:val="Hyperlink"/>
                <w:noProof/>
                <w:color w:val="222A35" w:themeColor="text2" w:themeShade="80"/>
              </w:rPr>
              <w:t>Enrolment Variation Funding</w:t>
            </w:r>
            <w:r w:rsidR="00AD25F3" w:rsidRPr="006E3D8D">
              <w:rPr>
                <w:noProof/>
                <w:webHidden/>
                <w:color w:val="222A35" w:themeColor="text2" w:themeShade="80"/>
              </w:rPr>
              <w:tab/>
            </w:r>
            <w:r w:rsidR="00AD25F3" w:rsidRPr="006E3D8D">
              <w:rPr>
                <w:noProof/>
                <w:webHidden/>
                <w:color w:val="222A35" w:themeColor="text2" w:themeShade="80"/>
              </w:rPr>
              <w:fldChar w:fldCharType="begin"/>
            </w:r>
            <w:r w:rsidR="00AD25F3" w:rsidRPr="006E3D8D">
              <w:rPr>
                <w:noProof/>
                <w:webHidden/>
                <w:color w:val="222A35" w:themeColor="text2" w:themeShade="80"/>
              </w:rPr>
              <w:instrText xml:space="preserve"> PAGEREF _Toc52796233 \h </w:instrText>
            </w:r>
            <w:r w:rsidR="00AD25F3" w:rsidRPr="006E3D8D">
              <w:rPr>
                <w:noProof/>
                <w:webHidden/>
                <w:color w:val="222A35" w:themeColor="text2" w:themeShade="80"/>
              </w:rPr>
            </w:r>
            <w:r w:rsidR="00AD25F3" w:rsidRPr="006E3D8D">
              <w:rPr>
                <w:noProof/>
                <w:webHidden/>
                <w:color w:val="222A35" w:themeColor="text2" w:themeShade="80"/>
              </w:rPr>
              <w:fldChar w:fldCharType="separate"/>
            </w:r>
            <w:r w:rsidR="00B301E1">
              <w:rPr>
                <w:noProof/>
                <w:webHidden/>
                <w:color w:val="222A35" w:themeColor="text2" w:themeShade="80"/>
              </w:rPr>
              <w:t>163</w:t>
            </w:r>
            <w:r w:rsidR="00AD25F3" w:rsidRPr="006E3D8D">
              <w:rPr>
                <w:noProof/>
                <w:webHidden/>
                <w:color w:val="222A35" w:themeColor="text2" w:themeShade="80"/>
              </w:rPr>
              <w:fldChar w:fldCharType="end"/>
            </w:r>
          </w:hyperlink>
        </w:p>
        <w:p w14:paraId="67E28987" w14:textId="0E2E059C" w:rsidR="00787CC6" w:rsidRDefault="007016CD">
          <w:r w:rsidRPr="006E3D8D">
            <w:rPr>
              <w:color w:val="222A35" w:themeColor="text2" w:themeShade="80"/>
            </w:rPr>
            <w:fldChar w:fldCharType="end"/>
          </w:r>
        </w:p>
      </w:sdtContent>
    </w:sdt>
    <w:p w14:paraId="25375CC7" w14:textId="18D3E5A2" w:rsidR="00ED4312" w:rsidRPr="00ED4312" w:rsidRDefault="00ED4312" w:rsidP="00B449D7">
      <w:pPr>
        <w:pStyle w:val="Heading1"/>
        <w:rPr>
          <w:lang w:val="en"/>
        </w:rPr>
      </w:pPr>
      <w:bookmarkStart w:id="0" w:name="_Toc52796166"/>
      <w:r w:rsidRPr="00ED4312">
        <w:rPr>
          <w:lang w:val="en"/>
        </w:rPr>
        <w:lastRenderedPageBreak/>
        <w:t xml:space="preserve">Student Resource </w:t>
      </w:r>
      <w:r w:rsidRPr="00AA54CC">
        <w:t>Package</w:t>
      </w:r>
      <w:r w:rsidRPr="00ED4312">
        <w:rPr>
          <w:lang w:val="en"/>
        </w:rPr>
        <w:t xml:space="preserve"> — Core Student Learning Allocation funding (Student Based Funding)</w:t>
      </w:r>
      <w:bookmarkEnd w:id="0"/>
    </w:p>
    <w:p w14:paraId="16308921" w14:textId="77777777" w:rsidR="00ED4312" w:rsidRPr="00ED4312" w:rsidRDefault="00ED4312" w:rsidP="00ED4312">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ED4312">
        <w:rPr>
          <w:rFonts w:ascii="VIC-Bold" w:eastAsia="Times New Roman" w:hAnsi="VIC-Bold" w:cs="Times New Roman"/>
          <w:color w:val="011A3C"/>
          <w:sz w:val="36"/>
          <w:szCs w:val="36"/>
          <w:lang w:val="en" w:eastAsia="en-AU"/>
        </w:rPr>
        <w:t>Policy</w:t>
      </w:r>
    </w:p>
    <w:p w14:paraId="5F096DD6"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This policy provides information about how funding is allocated to schools through the Student Resource Package for core student learning needs.</w:t>
      </w:r>
    </w:p>
    <w:p w14:paraId="07C78316" w14:textId="77777777" w:rsidR="00ED4312" w:rsidRPr="00ED4312" w:rsidRDefault="00ED4312" w:rsidP="00ED4312">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ED4312">
        <w:rPr>
          <w:rFonts w:ascii="VIC-Bold" w:eastAsia="Times New Roman" w:hAnsi="VIC-Bold" w:cs="Times New Roman"/>
          <w:color w:val="011A3C"/>
          <w:sz w:val="36"/>
          <w:szCs w:val="36"/>
          <w:lang w:val="en" w:eastAsia="en-AU"/>
        </w:rPr>
        <w:t>Details</w:t>
      </w:r>
    </w:p>
    <w:p w14:paraId="0BFC9C64"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 xml:space="preserve">Core student learning allocation funding is one of two types of student based funding. The other type of student based funding is </w:t>
      </w:r>
      <w:hyperlink r:id="rId11" w:history="1">
        <w:r w:rsidRPr="00ED4312">
          <w:rPr>
            <w:rFonts w:ascii="VIC-Regular" w:eastAsia="Times New Roman" w:hAnsi="VIC-Regular" w:cs="Times New Roman"/>
            <w:color w:val="011A3C"/>
            <w:sz w:val="24"/>
            <w:szCs w:val="24"/>
            <w:lang w:val="en" w:eastAsia="en-AU"/>
          </w:rPr>
          <w:t>Equity funding</w:t>
        </w:r>
      </w:hyperlink>
      <w:r w:rsidRPr="00ED4312">
        <w:rPr>
          <w:rFonts w:ascii="VIC-Regular" w:eastAsia="Times New Roman" w:hAnsi="VIC-Regular" w:cs="Times New Roman"/>
          <w:color w:val="011A3C"/>
          <w:sz w:val="24"/>
          <w:szCs w:val="24"/>
          <w:lang w:val="en" w:eastAsia="en-AU"/>
        </w:rPr>
        <w:t>.</w:t>
      </w:r>
    </w:p>
    <w:p w14:paraId="7508610C"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Student 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73D1DF94" w14:textId="405ECD6F" w:rsidR="00930B6B"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81AAF">
        <w:rPr>
          <w:rFonts w:ascii="VIC-Regular" w:eastAsia="Times New Roman" w:hAnsi="VIC-Regular" w:cs="Times New Roman"/>
          <w:color w:val="011A3C"/>
          <w:sz w:val="24"/>
          <w:szCs w:val="24"/>
          <w:lang w:val="en" w:eastAsia="en-AU"/>
        </w:rPr>
        <w:t>The Core Student Learning Allocation</w:t>
      </w:r>
      <w:r w:rsidRPr="00ED4312">
        <w:rPr>
          <w:rFonts w:ascii="VIC-Regular" w:eastAsia="Times New Roman" w:hAnsi="VIC-Regular" w:cs="Times New Roman"/>
          <w:color w:val="011A3C"/>
          <w:sz w:val="24"/>
          <w:szCs w:val="24"/>
          <w:lang w:val="en" w:eastAsia="en-AU"/>
        </w:rPr>
        <w:t xml:space="preserve"> is designed to recognise the differing costs associated with different levels of learning, different types and sizes of schools, and the additional costs imposed by rurality and isolation. The specific types of Core Student Learning Allocation funding are listed below.</w:t>
      </w:r>
    </w:p>
    <w:p w14:paraId="111EABF7" w14:textId="3A24423E" w:rsidR="00ED4312" w:rsidRPr="00ED4312" w:rsidRDefault="00F45270"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w:t>
      </w:r>
      <w:r w:rsidRPr="00ED4312">
        <w:rPr>
          <w:rFonts w:ascii="VIC-Regular" w:eastAsia="Times New Roman" w:hAnsi="VIC-Regular" w:cs="Times New Roman"/>
          <w:color w:val="011A3C"/>
          <w:sz w:val="24"/>
          <w:szCs w:val="24"/>
          <w:lang w:val="en" w:eastAsia="en-AU"/>
        </w:rPr>
        <w:t xml:space="preserve">ach </w:t>
      </w:r>
      <w:r w:rsidR="00ED4312" w:rsidRPr="00ED4312">
        <w:rPr>
          <w:rFonts w:ascii="VIC-Regular" w:eastAsia="Times New Roman" w:hAnsi="VIC-Regular" w:cs="Times New Roman"/>
          <w:color w:val="011A3C"/>
          <w:sz w:val="24"/>
          <w:szCs w:val="24"/>
          <w:lang w:val="en" w:eastAsia="en-AU"/>
        </w:rPr>
        <w:t>of the specific types of Core Student Learning Allocation funding</w:t>
      </w:r>
      <w:r>
        <w:rPr>
          <w:rFonts w:ascii="VIC-Regular" w:eastAsia="Times New Roman" w:hAnsi="VIC-Regular" w:cs="Times New Roman"/>
          <w:color w:val="011A3C"/>
          <w:sz w:val="24"/>
          <w:szCs w:val="24"/>
          <w:lang w:val="en" w:eastAsia="en-AU"/>
        </w:rPr>
        <w:t xml:space="preserve"> are listed below:</w:t>
      </w:r>
    </w:p>
    <w:p w14:paraId="60B7E4D1"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Student per capita funding Years Prep-12 Students</w:t>
      </w:r>
    </w:p>
    <w:p w14:paraId="09D207B6"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Enrolment Linked Base</w:t>
      </w:r>
    </w:p>
    <w:p w14:paraId="597E862A"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Small School Base</w:t>
      </w:r>
    </w:p>
    <w:p w14:paraId="65EDEA2C"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Rural School Size Adjustment Factor</w:t>
      </w:r>
    </w:p>
    <w:p w14:paraId="733D8FEB"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Core Index Stages 1-3</w:t>
      </w:r>
    </w:p>
    <w:p w14:paraId="1BC726D4"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Size Adjustment Supplementation</w:t>
      </w:r>
    </w:p>
    <w:p w14:paraId="4229619E"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Approved Early Education Program</w:t>
      </w:r>
    </w:p>
    <w:p w14:paraId="4892B2A1"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Language and Learning Disabilities Support Program</w:t>
      </w:r>
    </w:p>
    <w:p w14:paraId="3EDBA839"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Mental Health</w:t>
      </w:r>
    </w:p>
    <w:p w14:paraId="0892F10F" w14:textId="77777777" w:rsidR="0094634B" w:rsidRPr="00ED4312" w:rsidRDefault="0094634B" w:rsidP="0094634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lastRenderedPageBreak/>
        <w:t xml:space="preserve">Not all types of funding are available to all schools. Funding is assessed according to school </w:t>
      </w:r>
      <w:r>
        <w:rPr>
          <w:rFonts w:ascii="VIC-Regular" w:eastAsia="Times New Roman" w:hAnsi="VIC-Regular" w:cs="Times New Roman"/>
          <w:color w:val="011A3C"/>
          <w:sz w:val="24"/>
          <w:szCs w:val="24"/>
          <w:lang w:val="en" w:eastAsia="en-AU"/>
        </w:rPr>
        <w:t xml:space="preserve">or campus type </w:t>
      </w:r>
      <w:r w:rsidRPr="00ED4312">
        <w:rPr>
          <w:rFonts w:ascii="VIC-Regular" w:eastAsia="Times New Roman" w:hAnsi="VIC-Regular" w:cs="Times New Roman"/>
          <w:color w:val="011A3C"/>
          <w:sz w:val="24"/>
          <w:szCs w:val="24"/>
          <w:lang w:val="en" w:eastAsia="en-AU"/>
        </w:rPr>
        <w:t>and student need.</w:t>
      </w:r>
    </w:p>
    <w:p w14:paraId="08366EEC" w14:textId="612C53D3" w:rsidR="0094634B" w:rsidRDefault="0094634B" w:rsidP="0094634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Schools are expected to use SRP funds for the purpose for which it was allocated.</w:t>
      </w:r>
    </w:p>
    <w:p w14:paraId="7C98A508" w14:textId="77777777" w:rsidR="009E681D" w:rsidRPr="00ED4312" w:rsidRDefault="009E681D" w:rsidP="0094634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10BA667" w14:textId="55E58501" w:rsidR="009E681D" w:rsidRPr="009E681D" w:rsidRDefault="009E681D" w:rsidP="009E681D">
      <w:pPr>
        <w:spacing w:before="100" w:beforeAutospacing="1" w:after="100" w:afterAutospacing="1" w:line="312" w:lineRule="atLeast"/>
        <w:outlineLvl w:val="1"/>
        <w:rPr>
          <w:rFonts w:ascii="VIC-Bold" w:eastAsia="Times New Roman" w:hAnsi="VIC-Bold" w:cs="Times New Roman"/>
          <w:color w:val="011A3C"/>
          <w:sz w:val="30"/>
          <w:szCs w:val="24"/>
          <w:lang w:val="en" w:eastAsia="en-AU"/>
        </w:rPr>
      </w:pPr>
      <w:r>
        <w:rPr>
          <w:rFonts w:ascii="VIC-Bold" w:eastAsia="Times New Roman" w:hAnsi="VIC-Bold" w:cs="Times New Roman"/>
          <w:color w:val="011A3C"/>
          <w:sz w:val="30"/>
          <w:szCs w:val="24"/>
          <w:lang w:val="en" w:eastAsia="en-AU"/>
        </w:rPr>
        <w:t>*</w:t>
      </w:r>
      <w:r w:rsidRPr="009E681D">
        <w:rPr>
          <w:rFonts w:ascii="VIC-Bold" w:eastAsia="Times New Roman" w:hAnsi="VIC-Bold" w:cs="Times New Roman"/>
          <w:color w:val="011A3C"/>
          <w:sz w:val="30"/>
          <w:szCs w:val="24"/>
          <w:lang w:val="en" w:eastAsia="en-AU"/>
        </w:rPr>
        <w:t>Supported Inclusion Schools</w:t>
      </w:r>
    </w:p>
    <w:p w14:paraId="46FB978E" w14:textId="77777777" w:rsidR="009E681D" w:rsidRDefault="009E681D" w:rsidP="009E681D">
      <w:pPr>
        <w:rPr>
          <w:rFonts w:ascii="VIC-Regular" w:eastAsia="Times New Roman" w:hAnsi="VIC-Regular" w:cs="Times New Roman"/>
          <w:color w:val="011A3C"/>
          <w:sz w:val="24"/>
          <w:szCs w:val="24"/>
          <w:lang w:val="en" w:eastAsia="en-AU"/>
        </w:rPr>
      </w:pPr>
      <w:r w:rsidRPr="0094634B">
        <w:rPr>
          <w:rFonts w:ascii="VIC-Regular" w:eastAsia="Times New Roman" w:hAnsi="VIC-Regular" w:cs="Times New Roman"/>
          <w:color w:val="011A3C"/>
          <w:sz w:val="24"/>
          <w:szCs w:val="24"/>
          <w:lang w:val="en" w:eastAsia="en-AU"/>
        </w:rPr>
        <w:t xml:space="preserve">Supported Inclusion Schools are mainstream primary or secondary schools designed to accommodate a higher proportion of students with disability than typical mainstream schools. Supported Inclusion Schools will provide students with disability enhanced support to attend mainstream education classes to the greatest extent possible.  </w:t>
      </w:r>
    </w:p>
    <w:p w14:paraId="0D291699" w14:textId="1303F87E" w:rsidR="00EC143E" w:rsidRPr="0094634B" w:rsidRDefault="00EC143E" w:rsidP="0094634B">
      <w:pPr>
        <w:rPr>
          <w:rFonts w:ascii="VIC-Regular" w:eastAsia="Times New Roman" w:hAnsi="VIC-Regular" w:cs="Times New Roman"/>
          <w:color w:val="011A3C"/>
          <w:sz w:val="24"/>
          <w:szCs w:val="24"/>
          <w:lang w:val="en" w:eastAsia="en-AU"/>
        </w:rPr>
      </w:pPr>
      <w:r w:rsidRPr="0094634B">
        <w:rPr>
          <w:rFonts w:ascii="VIC-Regular" w:eastAsia="Times New Roman" w:hAnsi="VIC-Regular" w:cs="Times New Roman"/>
          <w:color w:val="011A3C"/>
          <w:sz w:val="24"/>
          <w:szCs w:val="24"/>
          <w:lang w:val="en" w:eastAsia="en-AU"/>
        </w:rPr>
        <w:br w:type="page"/>
      </w:r>
    </w:p>
    <w:p w14:paraId="5CB2F173" w14:textId="7C54A6FF" w:rsidR="001167A8" w:rsidRPr="001167A8" w:rsidRDefault="001167A8" w:rsidP="00842992">
      <w:pPr>
        <w:pStyle w:val="Heading2"/>
      </w:pPr>
      <w:bookmarkStart w:id="1" w:name="_Toc52796167"/>
      <w:r w:rsidRPr="001167A8">
        <w:lastRenderedPageBreak/>
        <w:t>Student per capita Funding Years Prep-12 Students (Reference 1)</w:t>
      </w:r>
      <w:bookmarkEnd w:id="1"/>
    </w:p>
    <w:p w14:paraId="57E5A1A4"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In the Student Resource Package, the majority of funding provided to schools has been specified as per-student rates (i.e. in student per capita form). </w:t>
      </w:r>
    </w:p>
    <w:p w14:paraId="1F76FAC1" w14:textId="70E0F5E6"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Research conducted by The University of Melbourne has allowed the differing costs associated with delivering effective educational outcomes at the various levels of learning to be recognised by differing rates. The relativities are an initial assessment of the most effective way of allocating existing funds. These relativities may be adjusted over time through further research and a rolling benchmark process.</w:t>
      </w:r>
    </w:p>
    <w:p w14:paraId="327E805A" w14:textId="77777777" w:rsidR="001167A8" w:rsidRPr="008C47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C477F">
        <w:rPr>
          <w:rFonts w:ascii="VIC-Bold" w:eastAsia="Times New Roman" w:hAnsi="VIC-Bold" w:cs="Times New Roman"/>
          <w:b/>
          <w:bCs/>
          <w:color w:val="011A3C"/>
          <w:sz w:val="27"/>
          <w:szCs w:val="27"/>
          <w:lang w:val="en" w:eastAsia="en-AU"/>
        </w:rPr>
        <w:t>Eligibility</w:t>
      </w:r>
    </w:p>
    <w:p w14:paraId="3A0EC60D"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Schools with the following campus types are eligible for the student per capita funding at campus level.</w:t>
      </w:r>
    </w:p>
    <w:p w14:paraId="63D0B3E4"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w:t>
      </w:r>
    </w:p>
    <w:p w14:paraId="5892237E"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Secondary</w:t>
      </w:r>
    </w:p>
    <w:p w14:paraId="796887AA"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Primary/Secondary Combined</w:t>
      </w:r>
    </w:p>
    <w:p w14:paraId="34D66DF6" w14:textId="40350A82" w:rsidR="00FF759D" w:rsidRPr="00A65133" w:rsidRDefault="00FF759D" w:rsidP="00A65133">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 w:name="_Hlk46933012"/>
      <w:r>
        <w:rPr>
          <w:rFonts w:ascii="VIC-Regular" w:eastAsia="Times New Roman" w:hAnsi="VIC-Regular" w:cs="Times New Roman"/>
          <w:color w:val="011A3C"/>
          <w:sz w:val="24"/>
          <w:szCs w:val="24"/>
          <w:lang w:val="en" w:eastAsia="en-AU"/>
        </w:rPr>
        <w:t xml:space="preserve">Funding is calculated at the Indicative, Confirmed and Revised budget </w:t>
      </w:r>
      <w:r w:rsidR="00A65133">
        <w:rPr>
          <w:rFonts w:ascii="VIC-Regular" w:eastAsia="Times New Roman" w:hAnsi="VIC-Regular" w:cs="Times New Roman"/>
          <w:color w:val="011A3C"/>
          <w:sz w:val="24"/>
          <w:szCs w:val="24"/>
          <w:lang w:val="en" w:eastAsia="en-AU"/>
        </w:rPr>
        <w:t xml:space="preserve">cycles, funding is </w:t>
      </w:r>
      <w:r w:rsidRPr="00714822">
        <w:rPr>
          <w:rFonts w:ascii="VIC-Regular" w:eastAsia="Times New Roman" w:hAnsi="VIC-Regular" w:cs="Times New Roman"/>
          <w:color w:val="011A3C"/>
          <w:sz w:val="24"/>
          <w:szCs w:val="24"/>
          <w:lang w:val="en" w:eastAsia="en-AU"/>
        </w:rPr>
        <w:t>provided through credit and cash funding</w:t>
      </w:r>
      <w:bookmarkEnd w:id="2"/>
      <w:r w:rsidR="00A65133">
        <w:rPr>
          <w:rFonts w:ascii="VIC-Regular" w:eastAsia="Times New Roman" w:hAnsi="VIC-Regular" w:cs="Times New Roman"/>
          <w:color w:val="011A3C"/>
          <w:sz w:val="24"/>
          <w:szCs w:val="24"/>
          <w:lang w:val="en" w:eastAsia="en-AU"/>
        </w:rPr>
        <w:t>.</w:t>
      </w:r>
    </w:p>
    <w:p w14:paraId="3A297E5E" w14:textId="4AFFF380"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4E1AE7E"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b/>
          <w:bCs/>
          <w:color w:val="011A3C"/>
          <w:sz w:val="24"/>
          <w:szCs w:val="24"/>
          <w:lang w:val="en" w:eastAsia="en-AU"/>
        </w:rPr>
        <w:t>Student per Capita Funding</w:t>
      </w:r>
      <w:r w:rsidRPr="001167A8">
        <w:rPr>
          <w:rFonts w:ascii="VIC-Regular" w:eastAsia="Times New Roman" w:hAnsi="VIC-Regular" w:cs="Times New Roman"/>
          <w:color w:val="011A3C"/>
          <w:sz w:val="24"/>
          <w:szCs w:val="24"/>
          <w:lang w:val="en" w:eastAsia="en-AU"/>
        </w:rPr>
        <w:t xml:space="preserve"> = Student enrolments (P-12) * Student Price</w:t>
      </w:r>
    </w:p>
    <w:p w14:paraId="40F00984" w14:textId="6AFBA990"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 xml:space="preserve">Example: A </w:t>
      </w:r>
      <w:r w:rsidR="004E385A">
        <w:rPr>
          <w:rFonts w:ascii="VIC-Regular" w:eastAsia="Times New Roman" w:hAnsi="VIC-Regular" w:cs="Times New Roman"/>
          <w:color w:val="011A3C"/>
          <w:sz w:val="24"/>
          <w:szCs w:val="24"/>
          <w:lang w:val="en" w:eastAsia="en-AU"/>
        </w:rPr>
        <w:t>campus</w:t>
      </w:r>
      <w:r w:rsidRPr="001167A8">
        <w:rPr>
          <w:rFonts w:ascii="VIC-Regular" w:eastAsia="Times New Roman" w:hAnsi="VIC-Regular" w:cs="Times New Roman"/>
          <w:color w:val="011A3C"/>
          <w:sz w:val="24"/>
          <w:szCs w:val="24"/>
          <w:lang w:val="en" w:eastAsia="en-AU"/>
        </w:rPr>
        <w:t xml:space="preserve"> with 62 Year 2 students would calculate their funding as 62 (Year 2 students) * Year 2 Student Price.</w:t>
      </w:r>
    </w:p>
    <w:p w14:paraId="53A9DC73" w14:textId="6F6D7F36"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3"/>
        <w:gridCol w:w="1387"/>
        <w:gridCol w:w="1388"/>
        <w:gridCol w:w="1388"/>
      </w:tblGrid>
      <w:tr w:rsidR="001167A8" w:rsidRPr="001167A8" w14:paraId="78FDA1D9" w14:textId="77777777" w:rsidTr="00842992">
        <w:trPr>
          <w:tblHeader/>
        </w:trPr>
        <w:tc>
          <w:tcPr>
            <w:tcW w:w="0" w:type="auto"/>
            <w:hideMark/>
          </w:tcPr>
          <w:p w14:paraId="367B1D44" w14:textId="56B62E61" w:rsidR="001167A8" w:rsidRPr="00CC34D4"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 xml:space="preserve">Student per Capita Years Prep </w:t>
            </w:r>
            <w:r w:rsidR="00854998" w:rsidRPr="00CC34D4">
              <w:rPr>
                <w:rFonts w:ascii="VIC-Bold" w:eastAsia="Times New Roman" w:hAnsi="VIC-Bold" w:cs="Times New Roman"/>
                <w:color w:val="323E4F" w:themeColor="text2" w:themeShade="BF"/>
                <w:sz w:val="24"/>
                <w:szCs w:val="24"/>
                <w:lang w:eastAsia="en-AU"/>
              </w:rPr>
              <w:t>to</w:t>
            </w:r>
            <w:r w:rsidRPr="00CC34D4">
              <w:rPr>
                <w:rFonts w:ascii="VIC-Bold" w:eastAsia="Times New Roman" w:hAnsi="VIC-Bold" w:cs="Times New Roman"/>
                <w:color w:val="323E4F" w:themeColor="text2" w:themeShade="BF"/>
                <w:sz w:val="24"/>
                <w:szCs w:val="24"/>
                <w:lang w:eastAsia="en-AU"/>
              </w:rPr>
              <w:t xml:space="preserve"> 12 Students</w:t>
            </w:r>
          </w:p>
        </w:tc>
        <w:tc>
          <w:tcPr>
            <w:tcW w:w="1387" w:type="dxa"/>
            <w:hideMark/>
          </w:tcPr>
          <w:p w14:paraId="2C1E8C5A" w14:textId="77777777" w:rsidR="001167A8" w:rsidRPr="00CC34D4"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Credit ($)</w:t>
            </w:r>
          </w:p>
        </w:tc>
        <w:tc>
          <w:tcPr>
            <w:tcW w:w="1388" w:type="dxa"/>
            <w:hideMark/>
          </w:tcPr>
          <w:p w14:paraId="2AFB1996" w14:textId="77777777" w:rsidR="001167A8" w:rsidRPr="00CC34D4"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Cash ($)</w:t>
            </w:r>
          </w:p>
        </w:tc>
        <w:tc>
          <w:tcPr>
            <w:tcW w:w="1388" w:type="dxa"/>
            <w:hideMark/>
          </w:tcPr>
          <w:p w14:paraId="7E114E81" w14:textId="77777777" w:rsidR="001167A8" w:rsidRPr="00CC34D4"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CC34D4">
              <w:rPr>
                <w:rFonts w:ascii="VIC-Bold" w:eastAsia="Times New Roman" w:hAnsi="VIC-Bold" w:cs="Times New Roman"/>
                <w:color w:val="323E4F" w:themeColor="text2" w:themeShade="BF"/>
                <w:sz w:val="24"/>
                <w:szCs w:val="24"/>
                <w:lang w:eastAsia="en-AU"/>
              </w:rPr>
              <w:t>Total Student Price ($)</w:t>
            </w:r>
          </w:p>
        </w:tc>
      </w:tr>
      <w:tr w:rsidR="00076552" w:rsidRPr="001167A8" w14:paraId="7A8BFA73" w14:textId="77777777" w:rsidTr="00842992">
        <w:tc>
          <w:tcPr>
            <w:tcW w:w="0" w:type="auto"/>
            <w:hideMark/>
          </w:tcPr>
          <w:p w14:paraId="3536ECC1" w14:textId="77777777" w:rsidR="00076552" w:rsidRPr="00CC34D4" w:rsidRDefault="00076552" w:rsidP="00076552">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Prep-Year 1</w:t>
            </w:r>
          </w:p>
        </w:tc>
        <w:tc>
          <w:tcPr>
            <w:tcW w:w="1387" w:type="dxa"/>
            <w:hideMark/>
          </w:tcPr>
          <w:p w14:paraId="172589BF" w14:textId="261E3181" w:rsidR="00076552" w:rsidRPr="00CC34D4"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7,735</w:t>
            </w:r>
          </w:p>
        </w:tc>
        <w:tc>
          <w:tcPr>
            <w:tcW w:w="1388" w:type="dxa"/>
            <w:hideMark/>
          </w:tcPr>
          <w:p w14:paraId="162231DE" w14:textId="6F5DFBC6" w:rsidR="00076552" w:rsidRPr="00CC34D4"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542</w:t>
            </w:r>
          </w:p>
        </w:tc>
        <w:tc>
          <w:tcPr>
            <w:tcW w:w="1388" w:type="dxa"/>
            <w:hideMark/>
          </w:tcPr>
          <w:p w14:paraId="38DFBE15" w14:textId="0390D9F0" w:rsidR="00076552" w:rsidRPr="00CC34D4"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8,277</w:t>
            </w:r>
          </w:p>
        </w:tc>
      </w:tr>
      <w:tr w:rsidR="00962104" w:rsidRPr="001167A8" w14:paraId="45250A0E" w14:textId="77777777" w:rsidTr="00842992">
        <w:tc>
          <w:tcPr>
            <w:tcW w:w="0" w:type="auto"/>
            <w:hideMark/>
          </w:tcPr>
          <w:p w14:paraId="67141146" w14:textId="77777777" w:rsidR="00962104" w:rsidRPr="00CC34D4"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Year 2</w:t>
            </w:r>
          </w:p>
        </w:tc>
        <w:tc>
          <w:tcPr>
            <w:tcW w:w="1387" w:type="dxa"/>
            <w:hideMark/>
          </w:tcPr>
          <w:p w14:paraId="07E7A23E" w14:textId="67057B2A"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7,184</w:t>
            </w:r>
          </w:p>
        </w:tc>
        <w:tc>
          <w:tcPr>
            <w:tcW w:w="1388" w:type="dxa"/>
            <w:hideMark/>
          </w:tcPr>
          <w:p w14:paraId="5C47E902" w14:textId="5852F630"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508</w:t>
            </w:r>
          </w:p>
        </w:tc>
        <w:tc>
          <w:tcPr>
            <w:tcW w:w="1388" w:type="dxa"/>
            <w:hideMark/>
          </w:tcPr>
          <w:p w14:paraId="4DC2CC50" w14:textId="01BB79EA"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7,692</w:t>
            </w:r>
          </w:p>
        </w:tc>
      </w:tr>
      <w:tr w:rsidR="00962104" w:rsidRPr="001167A8" w14:paraId="26633AF4" w14:textId="77777777" w:rsidTr="00842992">
        <w:tc>
          <w:tcPr>
            <w:tcW w:w="0" w:type="auto"/>
            <w:hideMark/>
          </w:tcPr>
          <w:p w14:paraId="38FF91A1" w14:textId="77777777" w:rsidR="00962104" w:rsidRPr="00CC34D4"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lastRenderedPageBreak/>
              <w:t>Years 3-6 (and Primary Ungraded)</w:t>
            </w:r>
          </w:p>
        </w:tc>
        <w:tc>
          <w:tcPr>
            <w:tcW w:w="1387" w:type="dxa"/>
            <w:hideMark/>
          </w:tcPr>
          <w:p w14:paraId="3F829F76" w14:textId="1040BDC2"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6,590</w:t>
            </w:r>
          </w:p>
        </w:tc>
        <w:tc>
          <w:tcPr>
            <w:tcW w:w="1388" w:type="dxa"/>
            <w:hideMark/>
          </w:tcPr>
          <w:p w14:paraId="112C40C5" w14:textId="1EBC745A"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469</w:t>
            </w:r>
          </w:p>
        </w:tc>
        <w:tc>
          <w:tcPr>
            <w:tcW w:w="1388" w:type="dxa"/>
            <w:hideMark/>
          </w:tcPr>
          <w:p w14:paraId="69BD834E" w14:textId="3EC86601"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7,059</w:t>
            </w:r>
          </w:p>
        </w:tc>
      </w:tr>
      <w:tr w:rsidR="00962104" w:rsidRPr="001167A8" w14:paraId="767E9F7A" w14:textId="77777777" w:rsidTr="00842992">
        <w:tc>
          <w:tcPr>
            <w:tcW w:w="0" w:type="auto"/>
            <w:hideMark/>
          </w:tcPr>
          <w:p w14:paraId="47D96088" w14:textId="77777777" w:rsidR="00962104" w:rsidRPr="00CC34D4"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Years 7-12 Students (and Secondary Ungraded)</w:t>
            </w:r>
          </w:p>
        </w:tc>
        <w:tc>
          <w:tcPr>
            <w:tcW w:w="1387" w:type="dxa"/>
            <w:hideMark/>
          </w:tcPr>
          <w:p w14:paraId="79591C97" w14:textId="28FE0EE1"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8,804</w:t>
            </w:r>
          </w:p>
        </w:tc>
        <w:tc>
          <w:tcPr>
            <w:tcW w:w="1388" w:type="dxa"/>
            <w:hideMark/>
          </w:tcPr>
          <w:p w14:paraId="6AAACF3A" w14:textId="358D9166"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524</w:t>
            </w:r>
          </w:p>
        </w:tc>
        <w:tc>
          <w:tcPr>
            <w:tcW w:w="1388" w:type="dxa"/>
            <w:hideMark/>
          </w:tcPr>
          <w:p w14:paraId="35DCE65F" w14:textId="130FD0B9" w:rsidR="00962104" w:rsidRPr="00CC34D4"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CC34D4">
              <w:rPr>
                <w:rFonts w:ascii="VIC-Regular" w:eastAsia="Times New Roman" w:hAnsi="VIC-Regular" w:cs="Times New Roman"/>
                <w:color w:val="323E4F" w:themeColor="text2" w:themeShade="BF"/>
                <w:sz w:val="24"/>
                <w:szCs w:val="24"/>
                <w:lang w:eastAsia="en-AU"/>
              </w:rPr>
              <w:t>9,328</w:t>
            </w:r>
          </w:p>
        </w:tc>
      </w:tr>
    </w:tbl>
    <w:p w14:paraId="6E2FD248" w14:textId="3013F180" w:rsidR="001167A8" w:rsidRDefault="001167A8"/>
    <w:p w14:paraId="6D7BC857" w14:textId="0CA722E2" w:rsidR="001167A8" w:rsidRPr="001167A8" w:rsidRDefault="001167A8" w:rsidP="00842992">
      <w:pPr>
        <w:pStyle w:val="Heading2"/>
      </w:pPr>
      <w:r>
        <w:br w:type="page"/>
      </w:r>
      <w:bookmarkStart w:id="3" w:name="_Toc52796168"/>
      <w:r w:rsidRPr="001167A8">
        <w:lastRenderedPageBreak/>
        <w:t>Enrolment Linked Base (Reference 2)</w:t>
      </w:r>
      <w:bookmarkEnd w:id="3"/>
    </w:p>
    <w:p w14:paraId="40C1B1A8" w14:textId="24170BA8"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Enrolment Linked Base</w:t>
      </w:r>
      <w:r w:rsidR="004F5307">
        <w:rPr>
          <w:rFonts w:ascii="VIC-Regular" w:eastAsia="Times New Roman" w:hAnsi="VIC-Regular" w:cs="Times New Roman"/>
          <w:color w:val="011A3C"/>
          <w:sz w:val="24"/>
          <w:szCs w:val="24"/>
          <w:lang w:val="en" w:eastAsia="en-AU"/>
        </w:rPr>
        <w:t xml:space="preserve"> (ELB)</w:t>
      </w:r>
      <w:r w:rsidRPr="001167A8">
        <w:rPr>
          <w:rFonts w:ascii="VIC-Regular" w:eastAsia="Times New Roman" w:hAnsi="VIC-Regular" w:cs="Times New Roman"/>
          <w:color w:val="011A3C"/>
          <w:sz w:val="24"/>
          <w:szCs w:val="24"/>
          <w:lang w:val="en" w:eastAsia="en-AU"/>
        </w:rPr>
        <w:t xml:space="preserve"> is provided to ensure that all schools, regardless of size, have sufficient resources to operate effectively. The flat base with taper provides a safety net for small schools whose enrolments are insufficient to generate viable funding. The taper also recognises the economies of scale achievable in larger schools through per student rates.</w:t>
      </w:r>
    </w:p>
    <w:p w14:paraId="61C96434"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base is made up of a flat amount, adjusted by way of a per-student taper that reduces the allocation beyond certain thresholds.</w:t>
      </w:r>
    </w:p>
    <w:p w14:paraId="0616077F"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For multi-campus colleges the formula is applied for each campus. To be eligible for multi-campus, each campus must be at least 1km apart.</w:t>
      </w:r>
    </w:p>
    <w:p w14:paraId="162A3622" w14:textId="77777777"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6C6B6328"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Schools with the following campus types are eligible for the enrolment linked base funding at campus level.</w:t>
      </w:r>
    </w:p>
    <w:p w14:paraId="6EC7E732"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w:t>
      </w:r>
    </w:p>
    <w:p w14:paraId="05FD5823"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Secondary</w:t>
      </w:r>
    </w:p>
    <w:p w14:paraId="632AEAA3"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Primary/Secondary Combined</w:t>
      </w:r>
    </w:p>
    <w:p w14:paraId="75C07B5B" w14:textId="39FCFC13" w:rsidR="00A65133" w:rsidRDefault="00A65133" w:rsidP="001167A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bookmarkStart w:id="4" w:name="_Hlk47814683"/>
      <w:r w:rsidRPr="00A65133">
        <w:rPr>
          <w:rFonts w:ascii="VIC-Regular" w:eastAsia="Times New Roman" w:hAnsi="VIC-Regular" w:cs="Times New Roman"/>
          <w:color w:val="011A3C"/>
          <w:sz w:val="24"/>
          <w:szCs w:val="24"/>
          <w:lang w:val="en" w:eastAsia="en-AU"/>
        </w:rPr>
        <w:t>Funding is calculated at the Indicative, Confirmed and Revised budget cycles, funding is provided through credit and cash funding.</w:t>
      </w:r>
      <w:r>
        <w:rPr>
          <w:rFonts w:ascii="VIC-Regular" w:eastAsia="Times New Roman" w:hAnsi="VIC-Regular" w:cs="Times New Roman"/>
          <w:color w:val="011A3C"/>
          <w:sz w:val="24"/>
          <w:szCs w:val="24"/>
          <w:lang w:val="en" w:eastAsia="en-AU"/>
        </w:rPr>
        <w:t xml:space="preserve"> </w:t>
      </w:r>
    </w:p>
    <w:bookmarkEnd w:id="4"/>
    <w:p w14:paraId="00786AB3" w14:textId="71160B68"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26A215B1"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b/>
          <w:bCs/>
          <w:color w:val="011A3C"/>
          <w:sz w:val="24"/>
          <w:szCs w:val="24"/>
          <w:lang w:val="en" w:eastAsia="en-AU"/>
        </w:rPr>
        <w:t>Enrolment Linked Base Funding</w:t>
      </w:r>
      <w:r w:rsidRPr="001167A8">
        <w:rPr>
          <w:rFonts w:ascii="VIC-Regular" w:eastAsia="Times New Roman" w:hAnsi="VIC-Regular" w:cs="Times New Roman"/>
          <w:color w:val="011A3C"/>
          <w:sz w:val="24"/>
          <w:szCs w:val="24"/>
          <w:lang w:val="en" w:eastAsia="en-AU"/>
        </w:rPr>
        <w:t xml:space="preserve"> = Base + (Enrolment * Taper)</w:t>
      </w:r>
    </w:p>
    <w:p w14:paraId="3326F7C7" w14:textId="77777777" w:rsidR="001167A8" w:rsidRPr="001167A8"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Refer to the matching school type configuration from the options below.</w:t>
      </w:r>
    </w:p>
    <w:p w14:paraId="78FC4F6A" w14:textId="77777777" w:rsidR="001167A8" w:rsidRPr="001167A8"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base is fixed up to an enrolment threshold. Above this level, the per student taper is applied, until the base amount is exhausted.</w:t>
      </w:r>
    </w:p>
    <w:p w14:paraId="027F8DF6" w14:textId="29920F33"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 xml:space="preserve">Example: A primary </w:t>
      </w:r>
      <w:r w:rsidR="004E385A">
        <w:rPr>
          <w:rFonts w:ascii="VIC-Regular" w:eastAsia="Times New Roman" w:hAnsi="VIC-Regular" w:cs="Times New Roman"/>
          <w:color w:val="011A3C"/>
          <w:sz w:val="24"/>
          <w:szCs w:val="24"/>
          <w:lang w:val="en" w:eastAsia="en-AU"/>
        </w:rPr>
        <w:t>campus</w:t>
      </w:r>
      <w:r w:rsidR="004E385A" w:rsidRPr="001167A8">
        <w:rPr>
          <w:rFonts w:ascii="VIC-Regular" w:eastAsia="Times New Roman" w:hAnsi="VIC-Regular" w:cs="Times New Roman"/>
          <w:color w:val="011A3C"/>
          <w:sz w:val="24"/>
          <w:szCs w:val="24"/>
          <w:lang w:val="en" w:eastAsia="en-AU"/>
        </w:rPr>
        <w:t xml:space="preserve"> </w:t>
      </w:r>
      <w:r w:rsidRPr="001167A8">
        <w:rPr>
          <w:rFonts w:ascii="VIC-Regular" w:eastAsia="Times New Roman" w:hAnsi="VIC-Regular" w:cs="Times New Roman"/>
          <w:color w:val="011A3C"/>
          <w:sz w:val="24"/>
          <w:szCs w:val="24"/>
          <w:lang w:val="en" w:eastAsia="en-AU"/>
        </w:rPr>
        <w:t>with 600 enrolments would calculate their funding as Primary Base + [100 (enrolment &gt;500) * Primary Taper]</w:t>
      </w:r>
    </w:p>
    <w:p w14:paraId="7275B635" w14:textId="60C6F470" w:rsidR="001167A8" w:rsidRPr="00AA54CC" w:rsidRDefault="001167A8" w:rsidP="00CE3A3F">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lastRenderedPageBreak/>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7"/>
        <w:gridCol w:w="1527"/>
        <w:gridCol w:w="1143"/>
        <w:gridCol w:w="447"/>
        <w:gridCol w:w="447"/>
        <w:gridCol w:w="1215"/>
      </w:tblGrid>
      <w:tr w:rsidR="001167A8" w:rsidRPr="001167A8" w14:paraId="3C9A76F0" w14:textId="77777777" w:rsidTr="00124D27">
        <w:trPr>
          <w:tblHeader/>
        </w:trPr>
        <w:tc>
          <w:tcPr>
            <w:tcW w:w="0" w:type="auto"/>
            <w:hideMark/>
          </w:tcPr>
          <w:p w14:paraId="28DC1707" w14:textId="49EDA54E" w:rsidR="001167A8" w:rsidRPr="00371B75" w:rsidRDefault="004F5307" w:rsidP="001167A8">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ELB  applied</w:t>
            </w:r>
          </w:p>
        </w:tc>
        <w:tc>
          <w:tcPr>
            <w:tcW w:w="0" w:type="auto"/>
            <w:hideMark/>
          </w:tcPr>
          <w:p w14:paraId="1E6C3732"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gridSpan w:val="2"/>
            <w:hideMark/>
          </w:tcPr>
          <w:p w14:paraId="388E2FDD"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gridSpan w:val="2"/>
            <w:hideMark/>
          </w:tcPr>
          <w:p w14:paraId="41CEFBB0"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962104" w:rsidRPr="001167A8" w14:paraId="0F027E8E" w14:textId="77777777" w:rsidTr="00124D27">
        <w:tc>
          <w:tcPr>
            <w:tcW w:w="0" w:type="auto"/>
            <w:hideMark/>
          </w:tcPr>
          <w:p w14:paraId="0CD1B387" w14:textId="77777777" w:rsidR="00962104" w:rsidRPr="00371B75"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 (incl. Hub Annex)</w:t>
            </w:r>
          </w:p>
        </w:tc>
        <w:tc>
          <w:tcPr>
            <w:tcW w:w="0" w:type="auto"/>
            <w:hideMark/>
          </w:tcPr>
          <w:p w14:paraId="63E0E974" w14:textId="3CEB6CB7"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63,424</w:t>
            </w:r>
          </w:p>
        </w:tc>
        <w:tc>
          <w:tcPr>
            <w:tcW w:w="0" w:type="auto"/>
            <w:gridSpan w:val="2"/>
            <w:hideMark/>
          </w:tcPr>
          <w:p w14:paraId="4668F5CF" w14:textId="2EB677FB"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3,370</w:t>
            </w:r>
          </w:p>
        </w:tc>
        <w:tc>
          <w:tcPr>
            <w:tcW w:w="0" w:type="auto"/>
            <w:gridSpan w:val="2"/>
            <w:hideMark/>
          </w:tcPr>
          <w:p w14:paraId="43AAEAE7" w14:textId="2925A74F"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66,794</w:t>
            </w:r>
          </w:p>
        </w:tc>
      </w:tr>
      <w:tr w:rsidR="00962104" w:rsidRPr="001167A8" w14:paraId="1FC44983" w14:textId="77777777" w:rsidTr="00124D27">
        <w:tc>
          <w:tcPr>
            <w:tcW w:w="0" w:type="auto"/>
            <w:hideMark/>
          </w:tcPr>
          <w:p w14:paraId="6DBDD0DE" w14:textId="77777777" w:rsidR="00962104" w:rsidRPr="00371B75"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2602D933" w14:textId="24905459"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528,246</w:t>
            </w:r>
          </w:p>
        </w:tc>
        <w:tc>
          <w:tcPr>
            <w:tcW w:w="0" w:type="auto"/>
            <w:gridSpan w:val="2"/>
            <w:hideMark/>
          </w:tcPr>
          <w:p w14:paraId="56533971" w14:textId="50009B38"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26,607</w:t>
            </w:r>
          </w:p>
        </w:tc>
        <w:tc>
          <w:tcPr>
            <w:tcW w:w="0" w:type="auto"/>
            <w:gridSpan w:val="2"/>
            <w:hideMark/>
          </w:tcPr>
          <w:p w14:paraId="51CF7B91" w14:textId="424F98B9"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554,853</w:t>
            </w:r>
          </w:p>
        </w:tc>
      </w:tr>
      <w:tr w:rsidR="00962104" w:rsidRPr="001167A8" w14:paraId="6F504EB8" w14:textId="77777777" w:rsidTr="00124D27">
        <w:tc>
          <w:tcPr>
            <w:tcW w:w="0" w:type="auto"/>
            <w:hideMark/>
          </w:tcPr>
          <w:p w14:paraId="4844E647" w14:textId="77777777" w:rsidR="00962104" w:rsidRPr="00371B75"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P-9, P-10 and P-12</w:t>
            </w:r>
          </w:p>
        </w:tc>
        <w:tc>
          <w:tcPr>
            <w:tcW w:w="0" w:type="auto"/>
            <w:hideMark/>
          </w:tcPr>
          <w:p w14:paraId="16431AC5" w14:textId="02A2C1D5"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554,746</w:t>
            </w:r>
          </w:p>
        </w:tc>
        <w:tc>
          <w:tcPr>
            <w:tcW w:w="0" w:type="auto"/>
            <w:gridSpan w:val="2"/>
            <w:hideMark/>
          </w:tcPr>
          <w:p w14:paraId="2766BD67" w14:textId="38F2CCF0"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30,720</w:t>
            </w:r>
          </w:p>
        </w:tc>
        <w:tc>
          <w:tcPr>
            <w:tcW w:w="0" w:type="auto"/>
            <w:gridSpan w:val="2"/>
            <w:hideMark/>
          </w:tcPr>
          <w:p w14:paraId="2B7CD6FC" w14:textId="55ACF4BF" w:rsidR="00962104" w:rsidRPr="00371B75"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585,466</w:t>
            </w:r>
          </w:p>
        </w:tc>
      </w:tr>
      <w:tr w:rsidR="004F5307" w:rsidRPr="001167A8" w14:paraId="5437D290" w14:textId="77777777" w:rsidTr="00124D27">
        <w:tc>
          <w:tcPr>
            <w:tcW w:w="0" w:type="auto"/>
            <w:hideMark/>
          </w:tcPr>
          <w:p w14:paraId="76E8EC7D"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P-8 (=0.5 x P-12 Base)</w:t>
            </w:r>
          </w:p>
        </w:tc>
        <w:tc>
          <w:tcPr>
            <w:tcW w:w="0" w:type="auto"/>
            <w:hideMark/>
          </w:tcPr>
          <w:p w14:paraId="60C57D28" w14:textId="673620E5"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277,373</w:t>
            </w:r>
          </w:p>
        </w:tc>
        <w:tc>
          <w:tcPr>
            <w:tcW w:w="0" w:type="auto"/>
            <w:gridSpan w:val="2"/>
            <w:hideMark/>
          </w:tcPr>
          <w:p w14:paraId="135F4A37" w14:textId="2298E568"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15,360</w:t>
            </w:r>
          </w:p>
        </w:tc>
        <w:tc>
          <w:tcPr>
            <w:tcW w:w="0" w:type="auto"/>
            <w:gridSpan w:val="2"/>
            <w:hideMark/>
          </w:tcPr>
          <w:p w14:paraId="49AEDBEC" w14:textId="5EA5960E"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292,733</w:t>
            </w:r>
          </w:p>
        </w:tc>
      </w:tr>
      <w:tr w:rsidR="004F5307" w:rsidRPr="001167A8" w14:paraId="43ECFA04" w14:textId="77777777" w:rsidTr="00124D27">
        <w:tc>
          <w:tcPr>
            <w:tcW w:w="0" w:type="auto"/>
            <w:hideMark/>
          </w:tcPr>
          <w:p w14:paraId="7C95B261"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Sec-Split Site (=1.5 x Sec Base)</w:t>
            </w:r>
          </w:p>
        </w:tc>
        <w:tc>
          <w:tcPr>
            <w:tcW w:w="0" w:type="auto"/>
            <w:hideMark/>
          </w:tcPr>
          <w:p w14:paraId="15E92BCD" w14:textId="117A77AC"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792,369</w:t>
            </w:r>
          </w:p>
        </w:tc>
        <w:tc>
          <w:tcPr>
            <w:tcW w:w="0" w:type="auto"/>
            <w:gridSpan w:val="2"/>
            <w:hideMark/>
          </w:tcPr>
          <w:p w14:paraId="2D4214FE" w14:textId="224DBA22"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39,910.50</w:t>
            </w:r>
          </w:p>
        </w:tc>
        <w:tc>
          <w:tcPr>
            <w:tcW w:w="0" w:type="auto"/>
            <w:gridSpan w:val="2"/>
            <w:hideMark/>
          </w:tcPr>
          <w:p w14:paraId="5B2C0C9E" w14:textId="1AEA6A1E"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832,279.50</w:t>
            </w:r>
          </w:p>
        </w:tc>
      </w:tr>
      <w:tr w:rsidR="004F5307" w:rsidRPr="001167A8" w14:paraId="0EB6FDEE" w14:textId="77777777" w:rsidTr="00124D27">
        <w:tc>
          <w:tcPr>
            <w:tcW w:w="0" w:type="auto"/>
            <w:hideMark/>
          </w:tcPr>
          <w:p w14:paraId="75404584"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Split Site P-12 (=1.5 x P-12 Base)</w:t>
            </w:r>
          </w:p>
        </w:tc>
        <w:tc>
          <w:tcPr>
            <w:tcW w:w="0" w:type="auto"/>
            <w:hideMark/>
          </w:tcPr>
          <w:p w14:paraId="3DB7BF88" w14:textId="2DF5CA7B"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832,119</w:t>
            </w:r>
          </w:p>
        </w:tc>
        <w:tc>
          <w:tcPr>
            <w:tcW w:w="0" w:type="auto"/>
            <w:gridSpan w:val="2"/>
            <w:hideMark/>
          </w:tcPr>
          <w:p w14:paraId="4D3B9182" w14:textId="49659265"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46,080</w:t>
            </w:r>
          </w:p>
        </w:tc>
        <w:tc>
          <w:tcPr>
            <w:tcW w:w="0" w:type="auto"/>
            <w:gridSpan w:val="2"/>
            <w:hideMark/>
          </w:tcPr>
          <w:p w14:paraId="0149FE8C" w14:textId="58AE11FE"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878,199</w:t>
            </w:r>
          </w:p>
        </w:tc>
      </w:tr>
      <w:tr w:rsidR="001167A8" w:rsidRPr="001167A8" w14:paraId="2E02DBC6" w14:textId="77777777" w:rsidTr="00124D27">
        <w:trPr>
          <w:tblHeader/>
        </w:trPr>
        <w:tc>
          <w:tcPr>
            <w:tcW w:w="0" w:type="auto"/>
            <w:gridSpan w:val="2"/>
            <w:hideMark/>
          </w:tcPr>
          <w:p w14:paraId="1D38485D" w14:textId="77777777" w:rsidR="001167A8" w:rsidRPr="00371B75"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Regular Enrolment Linked Base Taper</w:t>
            </w:r>
          </w:p>
        </w:tc>
        <w:tc>
          <w:tcPr>
            <w:tcW w:w="0" w:type="auto"/>
            <w:hideMark/>
          </w:tcPr>
          <w:p w14:paraId="133CDFE8"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gridSpan w:val="2"/>
            <w:hideMark/>
          </w:tcPr>
          <w:p w14:paraId="21668762"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7564905B" w14:textId="77777777" w:rsidR="001167A8" w:rsidRPr="00371B75"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4F5307" w:rsidRPr="001167A8" w14:paraId="555BDA8C" w14:textId="77777777" w:rsidTr="00124D27">
        <w:tc>
          <w:tcPr>
            <w:tcW w:w="0" w:type="auto"/>
            <w:gridSpan w:val="2"/>
            <w:hideMark/>
          </w:tcPr>
          <w:p w14:paraId="3EB5FB98"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 Taper &gt;500 Per student reduction</w:t>
            </w:r>
          </w:p>
        </w:tc>
        <w:tc>
          <w:tcPr>
            <w:tcW w:w="0" w:type="auto"/>
            <w:hideMark/>
          </w:tcPr>
          <w:p w14:paraId="6681C6B1" w14:textId="28F52D4B"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-169.45</w:t>
            </w:r>
          </w:p>
        </w:tc>
        <w:tc>
          <w:tcPr>
            <w:tcW w:w="0" w:type="auto"/>
            <w:gridSpan w:val="2"/>
            <w:hideMark/>
          </w:tcPr>
          <w:p w14:paraId="1BB0514A" w14:textId="60D75EED"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-9.01</w:t>
            </w:r>
          </w:p>
        </w:tc>
        <w:tc>
          <w:tcPr>
            <w:tcW w:w="0" w:type="auto"/>
            <w:hideMark/>
          </w:tcPr>
          <w:p w14:paraId="562B4751" w14:textId="41618B48"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-178.46</w:t>
            </w:r>
          </w:p>
        </w:tc>
      </w:tr>
      <w:tr w:rsidR="004F5307" w:rsidRPr="001167A8" w14:paraId="2E161121" w14:textId="77777777" w:rsidTr="00124D27">
        <w:tc>
          <w:tcPr>
            <w:tcW w:w="0" w:type="auto"/>
            <w:gridSpan w:val="2"/>
            <w:hideMark/>
          </w:tcPr>
          <w:p w14:paraId="3FDC0AD2" w14:textId="77777777" w:rsidR="004F5307" w:rsidRPr="00371B75"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 and Sec-Split Site Taper &gt;400 Per student reduction</w:t>
            </w:r>
          </w:p>
        </w:tc>
        <w:tc>
          <w:tcPr>
            <w:tcW w:w="0" w:type="auto"/>
            <w:hideMark/>
          </w:tcPr>
          <w:p w14:paraId="7797EB95" w14:textId="5629132F"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-452.62</w:t>
            </w:r>
          </w:p>
        </w:tc>
        <w:tc>
          <w:tcPr>
            <w:tcW w:w="0" w:type="auto"/>
            <w:gridSpan w:val="2"/>
            <w:hideMark/>
          </w:tcPr>
          <w:p w14:paraId="1A35B668" w14:textId="00D1DD9A"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-22.80</w:t>
            </w:r>
          </w:p>
        </w:tc>
        <w:tc>
          <w:tcPr>
            <w:tcW w:w="0" w:type="auto"/>
            <w:hideMark/>
          </w:tcPr>
          <w:p w14:paraId="19A37040" w14:textId="0E2F032A" w:rsidR="004F5307" w:rsidRPr="00371B75"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-475.42</w:t>
            </w:r>
          </w:p>
        </w:tc>
      </w:tr>
    </w:tbl>
    <w:p w14:paraId="1F9BFC93" w14:textId="5E7C75F7" w:rsidR="001167A8" w:rsidRPr="001167A8" w:rsidRDefault="004F5307"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The following campus configurations </w:t>
      </w:r>
      <w:r w:rsidR="001167A8" w:rsidRPr="001167A8">
        <w:rPr>
          <w:rFonts w:ascii="VIC-Regular" w:eastAsia="Times New Roman" w:hAnsi="VIC-Regular" w:cs="Times New Roman"/>
          <w:color w:val="011A3C"/>
          <w:sz w:val="24"/>
          <w:szCs w:val="24"/>
          <w:lang w:val="en" w:eastAsia="en-AU"/>
        </w:rPr>
        <w:t>P-8, P-9, P-10, P-12 &amp; Split Site P-12 — </w:t>
      </w:r>
      <w:r w:rsidR="001167A8" w:rsidRPr="001167A8">
        <w:rPr>
          <w:rFonts w:ascii="VIC-Regular" w:eastAsia="Times New Roman" w:hAnsi="VIC-Regular" w:cs="Times New Roman"/>
          <w:b/>
          <w:bCs/>
          <w:color w:val="011A3C"/>
          <w:sz w:val="24"/>
          <w:szCs w:val="24"/>
          <w:lang w:val="en" w:eastAsia="en-AU"/>
        </w:rPr>
        <w:t xml:space="preserve">use Primary and Secondary </w:t>
      </w:r>
      <w:r w:rsidR="00842992" w:rsidRPr="001167A8">
        <w:rPr>
          <w:rFonts w:ascii="VIC-Regular" w:eastAsia="Times New Roman" w:hAnsi="VIC-Regular" w:cs="Times New Roman"/>
          <w:b/>
          <w:bCs/>
          <w:color w:val="011A3C"/>
          <w:sz w:val="24"/>
          <w:szCs w:val="24"/>
          <w:lang w:val="en" w:eastAsia="en-AU"/>
        </w:rPr>
        <w:t>taper</w:t>
      </w:r>
      <w:r w:rsidR="00842992">
        <w:rPr>
          <w:rFonts w:ascii="VIC-Regular" w:eastAsia="Times New Roman" w:hAnsi="VIC-Regular" w:cs="Times New Roman"/>
          <w:b/>
          <w:bCs/>
          <w:color w:val="011A3C"/>
          <w:sz w:val="24"/>
          <w:szCs w:val="24"/>
          <w:lang w:val="en" w:eastAsia="en-AU"/>
        </w:rPr>
        <w:t>s.</w:t>
      </w:r>
    </w:p>
    <w:p w14:paraId="398B4CF4" w14:textId="7A4261E0" w:rsidR="001167A8" w:rsidRDefault="001167A8"/>
    <w:p w14:paraId="5FB1D039" w14:textId="77777777" w:rsidR="001167A8" w:rsidRDefault="001167A8">
      <w:r>
        <w:br w:type="page"/>
      </w:r>
    </w:p>
    <w:p w14:paraId="500CB4B4" w14:textId="77777777" w:rsidR="00DB5C39" w:rsidRPr="00DB5C39" w:rsidRDefault="00DB5C39" w:rsidP="00842992">
      <w:pPr>
        <w:pStyle w:val="Heading2"/>
      </w:pPr>
      <w:bookmarkStart w:id="5" w:name="_Toc52796169"/>
      <w:r w:rsidRPr="00DB5C39">
        <w:lastRenderedPageBreak/>
        <w:t>Small School Base (Reference 3)</w:t>
      </w:r>
      <w:bookmarkEnd w:id="5"/>
    </w:p>
    <w:p w14:paraId="127D3343"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A Small School Base is provided to primary schools with less than 80.1 students and secondary colleges with less than 400 students.</w:t>
      </w:r>
    </w:p>
    <w:p w14:paraId="68244AF5"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For primary schools, the base reduces as enrolments increase. For multi-site primary schools the Base and Taper is applied for each site.</w:t>
      </w:r>
    </w:p>
    <w:p w14:paraId="535C8CFE"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For secondary colleges, the base is a flat amount up to 110 enrolments after which it reduces as enrolments increase. For multi-campus colleges, the Base and Taper is applied for each campus.</w:t>
      </w:r>
    </w:p>
    <w:p w14:paraId="2099CD02" w14:textId="77777777"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475A8C4F"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Schools with the following campus types are eligible for the small school base funding at campus level.</w:t>
      </w:r>
    </w:p>
    <w:p w14:paraId="77C59095"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Primary</w:t>
      </w:r>
    </w:p>
    <w:p w14:paraId="714894D2"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Secondary</w:t>
      </w:r>
    </w:p>
    <w:p w14:paraId="08821D53"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Primary/Secondary Combined</w:t>
      </w:r>
    </w:p>
    <w:p w14:paraId="1CCE8A10" w14:textId="77777777" w:rsidR="00531290" w:rsidRDefault="00531290" w:rsidP="00DB5C39">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531290">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02ABB553" w14:textId="1DCB56D2"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1057DF29"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b/>
          <w:bCs/>
          <w:color w:val="011A3C"/>
          <w:sz w:val="24"/>
          <w:szCs w:val="24"/>
          <w:lang w:val="en" w:eastAsia="en-AU"/>
        </w:rPr>
        <w:t xml:space="preserve">Small School Base (Primary where enrolment is less than 80.1) </w:t>
      </w:r>
      <w:r w:rsidRPr="00DB5C39">
        <w:rPr>
          <w:rFonts w:ascii="VIC-Regular" w:eastAsia="Times New Roman" w:hAnsi="VIC-Regular" w:cs="Times New Roman"/>
          <w:color w:val="011A3C"/>
          <w:sz w:val="24"/>
          <w:szCs w:val="24"/>
          <w:lang w:val="en" w:eastAsia="en-AU"/>
        </w:rPr>
        <w:t>= Primary Base + (Primary Enrolment x Taper)</w:t>
      </w:r>
    </w:p>
    <w:p w14:paraId="1618EF9B" w14:textId="32E009F5" w:rsid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b/>
          <w:bCs/>
          <w:color w:val="011A3C"/>
          <w:sz w:val="24"/>
          <w:szCs w:val="24"/>
          <w:lang w:val="en" w:eastAsia="en-AU"/>
        </w:rPr>
        <w:t xml:space="preserve">Small School Base (Secondary where enrolment is less than 400) </w:t>
      </w:r>
      <w:r w:rsidRPr="00DB5C39">
        <w:rPr>
          <w:rFonts w:ascii="VIC-Regular" w:eastAsia="Times New Roman" w:hAnsi="VIC-Regular" w:cs="Times New Roman"/>
          <w:color w:val="011A3C"/>
          <w:sz w:val="24"/>
          <w:szCs w:val="24"/>
          <w:lang w:val="en" w:eastAsia="en-AU"/>
        </w:rPr>
        <w:t>= Secondary Base + [(Secondary Enrolment – 110) x Taper]</w:t>
      </w:r>
    </w:p>
    <w:p w14:paraId="57EAB9BE" w14:textId="77777777" w:rsidR="00AD25F3" w:rsidRPr="00DB5C39" w:rsidRDefault="00AD25F3"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5ACD144" w14:textId="635DE946"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secondary </w:t>
      </w:r>
      <w:r w:rsidR="00DD54B0">
        <w:rPr>
          <w:rFonts w:ascii="VIC-Regular" w:eastAsia="Times New Roman" w:hAnsi="VIC-Regular" w:cs="Times New Roman"/>
          <w:color w:val="011A3C"/>
          <w:sz w:val="24"/>
          <w:szCs w:val="24"/>
          <w:lang w:val="en" w:eastAsia="en-AU"/>
        </w:rPr>
        <w:t>campus</w:t>
      </w:r>
      <w:r w:rsidR="00DD54B0" w:rsidRPr="00DB5C39">
        <w:rPr>
          <w:rFonts w:ascii="VIC-Regular" w:eastAsia="Times New Roman" w:hAnsi="VIC-Regular" w:cs="Times New Roman"/>
          <w:color w:val="011A3C"/>
          <w:sz w:val="24"/>
          <w:szCs w:val="24"/>
          <w:lang w:val="en" w:eastAsia="en-AU"/>
        </w:rPr>
        <w:t xml:space="preserve"> </w:t>
      </w:r>
      <w:r w:rsidRPr="00DB5C39">
        <w:rPr>
          <w:rFonts w:ascii="VIC-Regular" w:eastAsia="Times New Roman" w:hAnsi="VIC-Regular" w:cs="Times New Roman"/>
          <w:color w:val="011A3C"/>
          <w:sz w:val="24"/>
          <w:szCs w:val="24"/>
          <w:lang w:val="en" w:eastAsia="en-AU"/>
        </w:rPr>
        <w:t>with 300 enrolments would calculate their funding as Secondary Base + [(300 -110) * Secondary Taper]</w:t>
      </w:r>
    </w:p>
    <w:p w14:paraId="16A26130" w14:textId="77777777" w:rsidR="00141B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F9E4EAA" w14:textId="77777777" w:rsidR="00141B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3691FA46" w14:textId="77777777" w:rsidR="00141B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1E5143D" w14:textId="1EE4475A"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7"/>
        <w:gridCol w:w="1503"/>
        <w:gridCol w:w="1316"/>
        <w:gridCol w:w="1340"/>
      </w:tblGrid>
      <w:tr w:rsidR="00DB5C39" w:rsidRPr="00DB5C39" w14:paraId="00974DDC" w14:textId="77777777" w:rsidTr="00124D27">
        <w:trPr>
          <w:tblHeader/>
        </w:trPr>
        <w:tc>
          <w:tcPr>
            <w:tcW w:w="0" w:type="auto"/>
            <w:hideMark/>
          </w:tcPr>
          <w:p w14:paraId="2C464FA3" w14:textId="77777777" w:rsidR="00DB5C39" w:rsidRPr="00371B75"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Small Schools Adjustment Base</w:t>
            </w:r>
          </w:p>
        </w:tc>
        <w:tc>
          <w:tcPr>
            <w:tcW w:w="0" w:type="auto"/>
            <w:hideMark/>
          </w:tcPr>
          <w:p w14:paraId="2069F423"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1BC7A6FA"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555D8A81"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BE29E7" w:rsidRPr="00DB5C39" w14:paraId="3FF53679" w14:textId="77777777" w:rsidTr="00124D27">
        <w:tc>
          <w:tcPr>
            <w:tcW w:w="0" w:type="auto"/>
            <w:hideMark/>
          </w:tcPr>
          <w:p w14:paraId="47929FFA"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5F10165B" w14:textId="55CD0286"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35,054</w:t>
            </w:r>
          </w:p>
        </w:tc>
        <w:tc>
          <w:tcPr>
            <w:tcW w:w="0" w:type="auto"/>
            <w:hideMark/>
          </w:tcPr>
          <w:p w14:paraId="073692E1" w14:textId="34E6B5EF"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2,390</w:t>
            </w:r>
          </w:p>
        </w:tc>
        <w:tc>
          <w:tcPr>
            <w:tcW w:w="0" w:type="auto"/>
            <w:hideMark/>
          </w:tcPr>
          <w:p w14:paraId="53AD71D7" w14:textId="11DE50D8"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37,444</w:t>
            </w:r>
          </w:p>
        </w:tc>
      </w:tr>
      <w:tr w:rsidR="00BE29E7" w:rsidRPr="00DB5C39" w14:paraId="5DED63BD" w14:textId="77777777" w:rsidTr="00124D27">
        <w:tc>
          <w:tcPr>
            <w:tcW w:w="0" w:type="auto"/>
            <w:hideMark/>
          </w:tcPr>
          <w:p w14:paraId="3D3792FA"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180E648D" w14:textId="18D018BB"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153,733</w:t>
            </w:r>
          </w:p>
        </w:tc>
        <w:tc>
          <w:tcPr>
            <w:tcW w:w="0" w:type="auto"/>
            <w:hideMark/>
          </w:tcPr>
          <w:p w14:paraId="7B3445FE" w14:textId="0251827F"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8,313</w:t>
            </w:r>
          </w:p>
        </w:tc>
        <w:tc>
          <w:tcPr>
            <w:tcW w:w="0" w:type="auto"/>
            <w:hideMark/>
          </w:tcPr>
          <w:p w14:paraId="1F6E1A23" w14:textId="0C07FD55"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162,046</w:t>
            </w:r>
          </w:p>
        </w:tc>
      </w:tr>
      <w:tr w:rsidR="00DB5C39" w:rsidRPr="00DB5C39" w14:paraId="6DE76AC3" w14:textId="77777777" w:rsidTr="00124D27">
        <w:trPr>
          <w:tblHeader/>
        </w:trPr>
        <w:tc>
          <w:tcPr>
            <w:tcW w:w="0" w:type="auto"/>
            <w:hideMark/>
          </w:tcPr>
          <w:p w14:paraId="77183E3F" w14:textId="77777777" w:rsidR="00DB5C39" w:rsidRPr="00371B75"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Small School Adjustment Taper</w:t>
            </w:r>
          </w:p>
        </w:tc>
        <w:tc>
          <w:tcPr>
            <w:tcW w:w="0" w:type="auto"/>
            <w:hideMark/>
          </w:tcPr>
          <w:p w14:paraId="7818E900"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6EAF976A"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6150A56F" w14:textId="77777777" w:rsidR="00DB5C39" w:rsidRPr="00371B75"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BE29E7" w:rsidRPr="00DB5C39" w14:paraId="6728E007" w14:textId="77777777" w:rsidTr="00124D27">
        <w:tc>
          <w:tcPr>
            <w:tcW w:w="0" w:type="auto"/>
            <w:hideMark/>
          </w:tcPr>
          <w:p w14:paraId="61F7BA11"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77AA087F" w14:textId="298E6C64"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-182.02</w:t>
            </w:r>
          </w:p>
        </w:tc>
        <w:tc>
          <w:tcPr>
            <w:tcW w:w="0" w:type="auto"/>
            <w:hideMark/>
          </w:tcPr>
          <w:p w14:paraId="5114E6AC" w14:textId="57E0FFE0"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-12.50</w:t>
            </w:r>
          </w:p>
        </w:tc>
        <w:tc>
          <w:tcPr>
            <w:tcW w:w="0" w:type="auto"/>
            <w:hideMark/>
          </w:tcPr>
          <w:p w14:paraId="29E23C1D" w14:textId="6DC510DF"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-194.52</w:t>
            </w:r>
          </w:p>
        </w:tc>
      </w:tr>
      <w:tr w:rsidR="00BE29E7" w:rsidRPr="00DB5C39" w14:paraId="34961AC6" w14:textId="77777777" w:rsidTr="00124D27">
        <w:tc>
          <w:tcPr>
            <w:tcW w:w="0" w:type="auto"/>
            <w:hideMark/>
          </w:tcPr>
          <w:p w14:paraId="26274EED" w14:textId="77777777" w:rsidR="00BE29E7" w:rsidRPr="00371B75"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4D0BA088" w14:textId="3C253119"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-530.13</w:t>
            </w:r>
          </w:p>
        </w:tc>
        <w:tc>
          <w:tcPr>
            <w:tcW w:w="0" w:type="auto"/>
            <w:hideMark/>
          </w:tcPr>
          <w:p w14:paraId="521A515B" w14:textId="79D9701C"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-28.66</w:t>
            </w:r>
          </w:p>
        </w:tc>
        <w:tc>
          <w:tcPr>
            <w:tcW w:w="0" w:type="auto"/>
            <w:hideMark/>
          </w:tcPr>
          <w:p w14:paraId="56AFE2A1" w14:textId="25AECED2" w:rsidR="00BE29E7" w:rsidRPr="00371B75"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-558.79</w:t>
            </w:r>
          </w:p>
        </w:tc>
      </w:tr>
    </w:tbl>
    <w:p w14:paraId="21EC1DDD" w14:textId="69DC32C0" w:rsidR="00DB5C39" w:rsidRDefault="00DB5C39"/>
    <w:p w14:paraId="030C27FC" w14:textId="77777777" w:rsidR="00DD54B0" w:rsidRDefault="00DD54B0">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7E4E223F" w14:textId="22E9EBEA" w:rsidR="006A5663" w:rsidRPr="006A5663" w:rsidRDefault="006A5663" w:rsidP="00842992">
      <w:pPr>
        <w:pStyle w:val="Heading2"/>
      </w:pPr>
      <w:bookmarkStart w:id="6" w:name="_Toc52796170"/>
      <w:r w:rsidRPr="006A5663">
        <w:lastRenderedPageBreak/>
        <w:t>Rural School Size Adjustment Factor (Reference 4)</w:t>
      </w:r>
      <w:bookmarkEnd w:id="6"/>
    </w:p>
    <w:p w14:paraId="0C418573" w14:textId="77777777" w:rsidR="006C05C4" w:rsidRPr="006C05C4"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 xml:space="preserve">This funding line recognises that small rural schools require additional resources to provide a high-quality education that is equal to that of schools in urban areas. </w:t>
      </w:r>
    </w:p>
    <w:p w14:paraId="21717F82" w14:textId="77777777" w:rsidR="006C05C4" w:rsidRPr="006C05C4"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 xml:space="preserve">Funding is provided to eligible primary schools, secondary schools and combined schools that are situated in non-metropolitan and non-provincial locations.  </w:t>
      </w:r>
    </w:p>
    <w:p w14:paraId="6654D492" w14:textId="0F9F7D9C" w:rsidR="006C05C4"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Allocations are determined at campus level using a per student rate. The per student rate is split into credit and cash and contains provisions for payroll tax, superannuation, relief teaching and professional development.</w:t>
      </w:r>
    </w:p>
    <w:p w14:paraId="43EA0F14" w14:textId="3FB53D7D" w:rsidR="006A5663"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2543BAD6"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Campuses with the following campus type, enrolments and location are eligible for RSAF funding.</w:t>
      </w:r>
    </w:p>
    <w:p w14:paraId="32637437"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p>
    <w:p w14:paraId="2C6E3EF8"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Campus type:</w:t>
      </w:r>
    </w:p>
    <w:p w14:paraId="1C727388" w14:textId="77777777" w:rsidR="006C05C4" w:rsidRPr="006C05C4" w:rsidRDefault="006C05C4" w:rsidP="006C05C4">
      <w:pPr>
        <w:pStyle w:val="ListParagraph"/>
        <w:numPr>
          <w:ilvl w:val="0"/>
          <w:numId w:val="213"/>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Primary</w:t>
      </w:r>
    </w:p>
    <w:p w14:paraId="6DC6EE29" w14:textId="77777777" w:rsidR="006C05C4" w:rsidRPr="006C05C4" w:rsidRDefault="006C05C4" w:rsidP="006C05C4">
      <w:pPr>
        <w:pStyle w:val="ListParagraph"/>
        <w:numPr>
          <w:ilvl w:val="0"/>
          <w:numId w:val="213"/>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Secondary</w:t>
      </w:r>
    </w:p>
    <w:p w14:paraId="03AB9F39" w14:textId="77777777" w:rsidR="006C05C4" w:rsidRPr="006C05C4" w:rsidRDefault="006C05C4" w:rsidP="006C05C4">
      <w:pPr>
        <w:pStyle w:val="ListParagraph"/>
        <w:numPr>
          <w:ilvl w:val="0"/>
          <w:numId w:val="213"/>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Combined</w:t>
      </w:r>
    </w:p>
    <w:p w14:paraId="6A07F8CA"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p>
    <w:p w14:paraId="4EE0483B"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Enrolments:</w:t>
      </w:r>
    </w:p>
    <w:p w14:paraId="0D3FDA06" w14:textId="77777777" w:rsidR="006C05C4" w:rsidRPr="006C05C4" w:rsidRDefault="006C05C4" w:rsidP="006C05C4">
      <w:pPr>
        <w:pStyle w:val="ListParagraph"/>
        <w:numPr>
          <w:ilvl w:val="0"/>
          <w:numId w:val="211"/>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Less than or equal to 200 Primary enrolments</w:t>
      </w:r>
    </w:p>
    <w:p w14:paraId="659BE2CE" w14:textId="77777777" w:rsidR="006C05C4" w:rsidRPr="006C05C4" w:rsidRDefault="006C05C4" w:rsidP="006C05C4">
      <w:pPr>
        <w:pStyle w:val="ListParagraph"/>
        <w:numPr>
          <w:ilvl w:val="0"/>
          <w:numId w:val="211"/>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Less than or equal to 500 Secondary enrolments</w:t>
      </w:r>
    </w:p>
    <w:p w14:paraId="2858F5BE"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p>
    <w:p w14:paraId="77D84BFE" w14:textId="77777777" w:rsidR="006C05C4" w:rsidRPr="006C05C4" w:rsidRDefault="006C05C4" w:rsidP="006C05C4">
      <w:p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Locations:</w:t>
      </w:r>
    </w:p>
    <w:p w14:paraId="3FE84489" w14:textId="77777777" w:rsidR="006C05C4" w:rsidRPr="006C05C4" w:rsidRDefault="006C05C4" w:rsidP="006C05C4">
      <w:pPr>
        <w:pStyle w:val="ListParagraph"/>
        <w:numPr>
          <w:ilvl w:val="0"/>
          <w:numId w:val="212"/>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 xml:space="preserve">outside the “Major Cities of Australia” Remoteness Area category, as defined by the Australian Bureau of Statistics (ABS), with reference to the 2016 Accessibility/Remoteness Index of Australia (ARIA). </w:t>
      </w:r>
    </w:p>
    <w:p w14:paraId="2704B8B5" w14:textId="6A3B026B" w:rsidR="006C05C4" w:rsidRPr="000D106B" w:rsidRDefault="006C05C4" w:rsidP="000D106B">
      <w:pPr>
        <w:pStyle w:val="ListParagraph"/>
        <w:numPr>
          <w:ilvl w:val="0"/>
          <w:numId w:val="212"/>
        </w:numPr>
        <w:spacing w:after="0" w:line="240" w:lineRule="auto"/>
        <w:rPr>
          <w:rFonts w:ascii="VIC-Regular" w:eastAsia="Times New Roman" w:hAnsi="VIC-Regular" w:cs="Times New Roman"/>
          <w:color w:val="011A3C"/>
          <w:sz w:val="24"/>
          <w:szCs w:val="24"/>
          <w:lang w:val="en" w:eastAsia="en-AU"/>
        </w:rPr>
      </w:pPr>
      <w:r w:rsidRPr="006C05C4">
        <w:rPr>
          <w:rFonts w:ascii="VIC-Regular" w:eastAsia="Times New Roman" w:hAnsi="VIC-Regular" w:cs="Times New Roman"/>
          <w:color w:val="011A3C"/>
          <w:sz w:val="24"/>
          <w:szCs w:val="24"/>
          <w:lang w:val="en" w:eastAsia="en-AU"/>
        </w:rPr>
        <w:t>outside provincial locations with more than 20,000 population, as defined by the ABS Urban Centres and Localities (UCL). Using ABS 2016, campuses in Geelong, Ballarat, Bendigo, Shepparton-Mooroopna, Warrnambool, Albury-Wodonga, Mildura and Traralgon are ineligible.</w:t>
      </w:r>
    </w:p>
    <w:p w14:paraId="3586F931" w14:textId="1CB13AFE" w:rsidR="00141B7F" w:rsidRPr="00930B6B" w:rsidRDefault="00395E28" w:rsidP="006A5663">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395E28">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5CE2799F" w14:textId="60F1C106" w:rsidR="006A5663" w:rsidRPr="00AA54CC" w:rsidRDefault="006A5663" w:rsidP="00B301E1">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lastRenderedPageBreak/>
        <w:t>Calculation</w:t>
      </w:r>
    </w:p>
    <w:p w14:paraId="422EA95C" w14:textId="74B7EAD0" w:rsidR="00E000E8" w:rsidRDefault="00E000E8" w:rsidP="00B301E1">
      <w:pPr>
        <w:keepNext/>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Allocation = Primary Enrolments * Primary Per Student Rate + Secondary enrolments * Secondary Per Student Rate</w:t>
      </w:r>
    </w:p>
    <w:p w14:paraId="4EB82BD1" w14:textId="77777777" w:rsidR="00A45EB1" w:rsidRPr="00E000E8" w:rsidRDefault="00A45EB1" w:rsidP="00E000E8">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6A1E2FD6" w14:textId="77777777" w:rsidR="00E000E8" w:rsidRPr="00E000E8" w:rsidRDefault="00E000E8" w:rsidP="00E000E8">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Note:</w:t>
      </w:r>
    </w:p>
    <w:p w14:paraId="231E076D" w14:textId="693543BD" w:rsidR="00E000E8" w:rsidRPr="00E000E8" w:rsidRDefault="00E000E8" w:rsidP="00E000E8">
      <w:pPr>
        <w:pStyle w:val="ListParagraph"/>
        <w:numPr>
          <w:ilvl w:val="0"/>
          <w:numId w:val="2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The rates for each enrolment level are provided in an Excel table </w:t>
      </w:r>
      <w:hyperlink r:id="rId12" w:history="1">
        <w:r w:rsidRPr="002175D0">
          <w:rPr>
            <w:rStyle w:val="Hyperlink"/>
            <w:rFonts w:ascii="VIC-Regular" w:eastAsia="Times New Roman" w:hAnsi="VIC-Regular" w:cs="Times New Roman"/>
            <w:sz w:val="24"/>
            <w:szCs w:val="24"/>
            <w:lang w:val="en" w:eastAsia="en-AU"/>
          </w:rPr>
          <w:t>here</w:t>
        </w:r>
      </w:hyperlink>
    </w:p>
    <w:p w14:paraId="520F9C8A" w14:textId="29862A5A" w:rsidR="00E000E8" w:rsidRPr="00E000E8" w:rsidRDefault="00E000E8" w:rsidP="00E000E8">
      <w:pPr>
        <w:pStyle w:val="ListParagraph"/>
        <w:numPr>
          <w:ilvl w:val="0"/>
          <w:numId w:val="2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Enrolments are rounded down to the nearest whole number to identify the relevant per student rate. The actual campus enrolments are applied to the per student rate to determine the allocation.</w:t>
      </w:r>
    </w:p>
    <w:p w14:paraId="01B7369F" w14:textId="098FFDBD" w:rsidR="00E000E8" w:rsidRPr="00E000E8" w:rsidRDefault="00E000E8" w:rsidP="00E000E8">
      <w:pPr>
        <w:spacing w:after="0" w:line="240" w:lineRule="auto"/>
        <w:rPr>
          <w:rFonts w:ascii="VIC-Regular" w:eastAsia="Times New Roman" w:hAnsi="VIC-Regular" w:cs="Times New Roman"/>
          <w:b/>
          <w:bCs/>
          <w:color w:val="011A3C"/>
          <w:sz w:val="24"/>
          <w:szCs w:val="24"/>
          <w:lang w:val="en" w:eastAsia="en-AU"/>
        </w:rPr>
      </w:pPr>
      <w:r w:rsidRPr="00E000E8">
        <w:rPr>
          <w:rFonts w:ascii="VIC-Regular" w:eastAsia="Times New Roman" w:hAnsi="VIC-Regular" w:cs="Times New Roman"/>
          <w:b/>
          <w:bCs/>
          <w:color w:val="011A3C"/>
          <w:sz w:val="24"/>
          <w:szCs w:val="24"/>
          <w:lang w:val="en" w:eastAsia="en-AU"/>
        </w:rPr>
        <w:t>Other relevant information</w:t>
      </w:r>
    </w:p>
    <w:p w14:paraId="6CB71EA4"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It is intended that location measures will be updated with the release of new ABS data every 5 years. The next release is scheduled in 2021. </w:t>
      </w:r>
    </w:p>
    <w:p w14:paraId="481F7237"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p>
    <w:p w14:paraId="796D8377"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ARIA+ is a continuous index, which the ABS uses to define the Remoteness Area categories, including: Major Cities of Australia, Inner Regional Australia, Outer Regional Australia, Remote Australia and Very Remote Australia. These categories of remoteness are based on a measure of relative access to services. Further information can be found </w:t>
      </w:r>
      <w:hyperlink r:id="rId13" w:history="1">
        <w:r w:rsidRPr="00E000E8">
          <w:rPr>
            <w:rFonts w:ascii="VIC-Regular" w:eastAsia="Times New Roman" w:hAnsi="VIC-Regular" w:cs="Times New Roman"/>
            <w:color w:val="011A3C"/>
            <w:sz w:val="24"/>
            <w:szCs w:val="24"/>
            <w:lang w:val="en" w:eastAsia="en-AU"/>
          </w:rPr>
          <w:t>here</w:t>
        </w:r>
      </w:hyperlink>
      <w:r w:rsidRPr="00E000E8">
        <w:rPr>
          <w:rFonts w:ascii="VIC-Regular" w:eastAsia="Times New Roman" w:hAnsi="VIC-Regular" w:cs="Times New Roman"/>
          <w:color w:val="011A3C"/>
          <w:sz w:val="24"/>
          <w:szCs w:val="24"/>
          <w:lang w:val="en" w:eastAsia="en-AU"/>
        </w:rPr>
        <w:t xml:space="preserve">. </w:t>
      </w:r>
    </w:p>
    <w:p w14:paraId="7959641D"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p>
    <w:p w14:paraId="75629E59"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More information can be found </w:t>
      </w:r>
      <w:hyperlink r:id="rId14" w:history="1">
        <w:r w:rsidRPr="00E000E8">
          <w:rPr>
            <w:rFonts w:ascii="VIC-Regular" w:eastAsia="Times New Roman" w:hAnsi="VIC-Regular" w:cs="Times New Roman"/>
            <w:color w:val="011A3C"/>
            <w:sz w:val="24"/>
            <w:szCs w:val="24"/>
            <w:lang w:val="en" w:eastAsia="en-AU"/>
          </w:rPr>
          <w:t>here</w:t>
        </w:r>
      </w:hyperlink>
      <w:r w:rsidRPr="00E000E8">
        <w:rPr>
          <w:rFonts w:ascii="VIC-Regular" w:eastAsia="Times New Roman" w:hAnsi="VIC-Regular" w:cs="Times New Roman"/>
          <w:color w:val="011A3C"/>
          <w:sz w:val="24"/>
          <w:szCs w:val="24"/>
          <w:lang w:val="en" w:eastAsia="en-AU"/>
        </w:rPr>
        <w:t xml:space="preserve"> about UCL definitions and sources. </w:t>
      </w:r>
    </w:p>
    <w:p w14:paraId="6361B93C"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p>
    <w:p w14:paraId="370C2B35" w14:textId="77777777" w:rsidR="00E000E8" w:rsidRPr="00E000E8" w:rsidRDefault="00E000E8" w:rsidP="00E000E8">
      <w:pPr>
        <w:spacing w:after="0" w:line="240" w:lineRule="auto"/>
        <w:rPr>
          <w:rFonts w:ascii="VIC-Regular" w:eastAsia="Times New Roman" w:hAnsi="VIC-Regular" w:cs="Times New Roman"/>
          <w:color w:val="011A3C"/>
          <w:sz w:val="24"/>
          <w:szCs w:val="24"/>
          <w:lang w:val="en" w:eastAsia="en-AU"/>
        </w:rPr>
      </w:pPr>
      <w:r w:rsidRPr="00E000E8">
        <w:rPr>
          <w:rFonts w:ascii="VIC-Regular" w:eastAsia="Times New Roman" w:hAnsi="VIC-Regular" w:cs="Times New Roman"/>
          <w:color w:val="011A3C"/>
          <w:sz w:val="24"/>
          <w:szCs w:val="24"/>
          <w:lang w:val="en" w:eastAsia="en-AU"/>
        </w:rPr>
        <w:t xml:space="preserve">To determine a campus’ Remoteness Area category and UCL boundary, use the ABS map tool located </w:t>
      </w:r>
      <w:hyperlink r:id="rId15" w:history="1">
        <w:r w:rsidRPr="00E000E8">
          <w:rPr>
            <w:rFonts w:ascii="VIC-Regular" w:eastAsia="Times New Roman" w:hAnsi="VIC-Regular" w:cs="Times New Roman"/>
            <w:color w:val="011A3C"/>
            <w:sz w:val="24"/>
            <w:szCs w:val="24"/>
            <w:lang w:val="en" w:eastAsia="en-AU"/>
          </w:rPr>
          <w:t>here</w:t>
        </w:r>
      </w:hyperlink>
      <w:r w:rsidRPr="00E000E8">
        <w:rPr>
          <w:rFonts w:ascii="VIC-Regular" w:eastAsia="Times New Roman" w:hAnsi="VIC-Regular" w:cs="Times New Roman"/>
          <w:color w:val="011A3C"/>
          <w:sz w:val="24"/>
          <w:szCs w:val="24"/>
          <w:lang w:val="en" w:eastAsia="en-AU"/>
        </w:rPr>
        <w:t>.</w:t>
      </w:r>
    </w:p>
    <w:p w14:paraId="25A0F040" w14:textId="77777777" w:rsidR="00341AB0" w:rsidRDefault="00341AB0">
      <w:pPr>
        <w:rPr>
          <w:rFonts w:ascii="VIC-Regular" w:eastAsia="Times New Roman" w:hAnsi="VIC-Regular" w:cs="Times New Roman"/>
          <w:color w:val="011A3C"/>
          <w:sz w:val="24"/>
          <w:szCs w:val="24"/>
          <w:lang w:val="en" w:eastAsia="en-AU"/>
        </w:rPr>
      </w:pPr>
    </w:p>
    <w:p w14:paraId="2C8FCABD" w14:textId="2E98EE42" w:rsidR="00B25992" w:rsidRDefault="00341AB0">
      <w:pPr>
        <w:rPr>
          <w:rFonts w:ascii="VIC-Regular" w:eastAsia="Times New Roman" w:hAnsi="VIC-Regular" w:cs="Times New Roman"/>
          <w:color w:val="011A3C"/>
          <w:sz w:val="24"/>
          <w:szCs w:val="24"/>
          <w:lang w:val="en" w:eastAsia="en-AU"/>
        </w:rPr>
      </w:pPr>
      <w:bookmarkStart w:id="7" w:name="_Hlk50546705"/>
      <w:r>
        <w:rPr>
          <w:rFonts w:ascii="VIC-Regular" w:eastAsia="Times New Roman" w:hAnsi="VIC-Regular" w:cs="Times New Roman"/>
          <w:color w:val="011A3C"/>
          <w:sz w:val="24"/>
          <w:szCs w:val="24"/>
          <w:lang w:val="en" w:eastAsia="en-AU"/>
        </w:rPr>
        <w:t xml:space="preserve">Additionally, schools that may be eligible for transition should refer </w:t>
      </w:r>
      <w:r w:rsidR="00B25992">
        <w:rPr>
          <w:rFonts w:ascii="VIC-Regular" w:eastAsia="Times New Roman" w:hAnsi="VIC-Regular" w:cs="Times New Roman"/>
          <w:color w:val="011A3C"/>
          <w:sz w:val="24"/>
          <w:szCs w:val="24"/>
          <w:lang w:val="en" w:eastAsia="en-AU"/>
        </w:rPr>
        <w:t>to:</w:t>
      </w:r>
    </w:p>
    <w:p w14:paraId="22362CEF" w14:textId="54FDED92" w:rsidR="006A5663" w:rsidRDefault="00B25992">
      <w:pPr>
        <w:rPr>
          <w:rFonts w:ascii="VIC-Regular" w:eastAsia="Times New Roman" w:hAnsi="VIC-Regular" w:cs="Times New Roman"/>
          <w:color w:val="011A3C"/>
          <w:sz w:val="24"/>
          <w:szCs w:val="24"/>
          <w:lang w:val="en" w:eastAsia="en-AU"/>
        </w:rPr>
      </w:pPr>
      <w:r w:rsidRPr="00B25992">
        <w:rPr>
          <w:rFonts w:ascii="VIC-Regular" w:eastAsia="Times New Roman" w:hAnsi="VIC-Regular" w:cs="Times New Roman"/>
          <w:color w:val="011A3C"/>
          <w:sz w:val="24"/>
          <w:szCs w:val="24"/>
          <w:lang w:val="en" w:eastAsia="en-AU"/>
        </w:rPr>
        <w:t>Transition Funding (Rural) (Ref 126)</w:t>
      </w:r>
      <w:bookmarkEnd w:id="7"/>
      <w:r w:rsidR="006A5663">
        <w:rPr>
          <w:rFonts w:ascii="VIC-Regular" w:eastAsia="Times New Roman" w:hAnsi="VIC-Regular" w:cs="Times New Roman"/>
          <w:color w:val="011A3C"/>
          <w:sz w:val="24"/>
          <w:szCs w:val="24"/>
          <w:lang w:val="en" w:eastAsia="en-AU"/>
        </w:rPr>
        <w:br w:type="page"/>
      </w:r>
    </w:p>
    <w:p w14:paraId="088E3097" w14:textId="77777777" w:rsidR="00D0026E" w:rsidRPr="00D0026E" w:rsidRDefault="00D0026E" w:rsidP="00842992">
      <w:pPr>
        <w:pStyle w:val="Heading2"/>
      </w:pPr>
      <w:bookmarkStart w:id="8" w:name="_Toc52796171"/>
      <w:r w:rsidRPr="00D0026E">
        <w:lastRenderedPageBreak/>
        <w:t>Core Index Stages 1-3 (Reference 5)</w:t>
      </w:r>
      <w:bookmarkEnd w:id="8"/>
    </w:p>
    <w:p w14:paraId="51EAD4F7" w14:textId="77777777"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Core Index Stages 1-3 provides funding to specialist schools for eligible and approved enrolments based on students’ age range.</w:t>
      </w:r>
    </w:p>
    <w:p w14:paraId="12BBA6BB" w14:textId="77777777" w:rsidR="00CC77CA" w:rsidRPr="00AA54CC" w:rsidRDefault="00CC77CA" w:rsidP="00CC77CA">
      <w:pPr>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r w:rsidRPr="00AA54CC">
        <w:rPr>
          <w:rFonts w:ascii="VIC-Bold" w:eastAsia="Times New Roman" w:hAnsi="VIC-Bold" w:cs="Times New Roman" w:hint="eastAsia"/>
          <w:b/>
          <w:bCs/>
          <w:color w:val="011A3C"/>
          <w:sz w:val="27"/>
          <w:szCs w:val="27"/>
          <w:lang w:val="en" w:eastAsia="en-AU"/>
        </w:rPr>
        <w:t> </w:t>
      </w:r>
    </w:p>
    <w:p w14:paraId="43F7FCC5" w14:textId="624D815D" w:rsidR="00CC77CA" w:rsidRPr="00E96B44" w:rsidRDefault="00CC77CA" w:rsidP="00CC77C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6B44">
        <w:rPr>
          <w:rFonts w:ascii="VIC-Regular" w:eastAsia="Times New Roman" w:hAnsi="VIC-Regular" w:cs="Times New Roman"/>
          <w:color w:val="011A3C"/>
          <w:sz w:val="24"/>
          <w:szCs w:val="24"/>
          <w:lang w:val="en" w:eastAsia="en-AU"/>
        </w:rPr>
        <w:t>The following school types receive the</w:t>
      </w:r>
      <w:r>
        <w:rPr>
          <w:rFonts w:ascii="VIC-Regular" w:eastAsia="Times New Roman" w:hAnsi="VIC-Regular" w:cs="Times New Roman"/>
          <w:color w:val="011A3C"/>
          <w:sz w:val="24"/>
          <w:szCs w:val="24"/>
          <w:lang w:val="en" w:eastAsia="en-AU"/>
        </w:rPr>
        <w:t xml:space="preserve"> </w:t>
      </w:r>
      <w:r w:rsidRPr="00E96B44">
        <w:rPr>
          <w:rFonts w:ascii="VIC-Regular" w:eastAsia="Times New Roman" w:hAnsi="VIC-Regular" w:cs="Times New Roman"/>
          <w:color w:val="011A3C"/>
          <w:sz w:val="24"/>
          <w:szCs w:val="24"/>
          <w:lang w:val="en" w:eastAsia="en-AU"/>
        </w:rPr>
        <w:t>Core Index</w:t>
      </w:r>
      <w:r>
        <w:rPr>
          <w:rFonts w:ascii="VIC-Regular" w:eastAsia="Times New Roman" w:hAnsi="VIC-Regular" w:cs="Times New Roman"/>
          <w:color w:val="011A3C"/>
          <w:sz w:val="24"/>
          <w:szCs w:val="24"/>
          <w:lang w:val="en" w:eastAsia="en-AU"/>
        </w:rPr>
        <w:t xml:space="preserve"> </w:t>
      </w:r>
      <w:r w:rsidRPr="00E96B44">
        <w:rPr>
          <w:rFonts w:ascii="VIC-Regular" w:eastAsia="Times New Roman" w:hAnsi="VIC-Regular" w:cs="Times New Roman"/>
          <w:color w:val="011A3C"/>
          <w:sz w:val="24"/>
          <w:szCs w:val="24"/>
          <w:lang w:val="en" w:eastAsia="en-AU"/>
        </w:rPr>
        <w:t>funding</w:t>
      </w:r>
      <w:r w:rsidR="00800331">
        <w:rPr>
          <w:rFonts w:ascii="VIC-Regular" w:eastAsia="Times New Roman" w:hAnsi="VIC-Regular" w:cs="Times New Roman"/>
          <w:color w:val="011A3C"/>
          <w:sz w:val="24"/>
          <w:szCs w:val="24"/>
          <w:lang w:val="en" w:eastAsia="en-AU"/>
        </w:rPr>
        <w:t xml:space="preserve"> at school level</w:t>
      </w:r>
    </w:p>
    <w:p w14:paraId="2305EBDC" w14:textId="2472F148" w:rsidR="00CC77CA" w:rsidRDefault="00CC77CA" w:rsidP="00AA54CC">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r w:rsidR="00335627">
        <w:rPr>
          <w:rFonts w:ascii="VIC-Regular" w:eastAsia="Times New Roman" w:hAnsi="VIC-Regular" w:cs="Times New Roman"/>
          <w:color w:val="011A3C"/>
          <w:sz w:val="24"/>
          <w:szCs w:val="24"/>
          <w:lang w:val="en" w:eastAsia="en-AU"/>
        </w:rPr>
        <w:t xml:space="preserve">ist </w:t>
      </w:r>
      <w:r w:rsidR="00395E28">
        <w:rPr>
          <w:rFonts w:ascii="VIC-Regular" w:eastAsia="Times New Roman" w:hAnsi="VIC-Regular" w:cs="Times New Roman"/>
          <w:color w:val="011A3C"/>
          <w:sz w:val="24"/>
          <w:szCs w:val="24"/>
          <w:lang w:val="en" w:eastAsia="en-AU"/>
        </w:rPr>
        <w:t>Schools</w:t>
      </w:r>
    </w:p>
    <w:p w14:paraId="0EA87F06" w14:textId="33FBB6B8" w:rsidR="00C42D86" w:rsidRDefault="00C42D86" w:rsidP="00C42D86">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bookmarkStart w:id="9" w:name="_Hlk47884304"/>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for each of the four school terms</w:t>
      </w:r>
      <w:r w:rsidR="009D3396">
        <w:rPr>
          <w:rFonts w:ascii="VIC-Regular" w:eastAsia="Times New Roman" w:hAnsi="VIC-Regular" w:cs="Times New Roman"/>
          <w:color w:val="011A3C"/>
          <w:sz w:val="24"/>
          <w:szCs w:val="24"/>
          <w:lang w:val="en" w:eastAsia="en-AU"/>
        </w:rPr>
        <w:t>, funding is allocated through credit and cash funding.</w:t>
      </w:r>
      <w:r>
        <w:rPr>
          <w:rFonts w:ascii="VIC-Regular" w:eastAsia="Times New Roman" w:hAnsi="VIC-Regular" w:cs="Times New Roman"/>
          <w:color w:val="011A3C"/>
          <w:sz w:val="24"/>
          <w:szCs w:val="24"/>
          <w:lang w:val="en" w:eastAsia="en-AU"/>
        </w:rPr>
        <w:t xml:space="preserve"> </w:t>
      </w:r>
    </w:p>
    <w:bookmarkEnd w:id="9"/>
    <w:p w14:paraId="38F8E5D7" w14:textId="28425F0B"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3F964857" w14:textId="1089C82B"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 xml:space="preserve">Core Index allocations are determined once a year (confirmed budget cycle) based on regionally approved pro-rata </w:t>
      </w:r>
      <w:r w:rsidR="00335627">
        <w:rPr>
          <w:rFonts w:ascii="VIC-Regular" w:eastAsia="Times New Roman" w:hAnsi="VIC-Regular" w:cs="Times New Roman"/>
          <w:color w:val="011A3C"/>
          <w:sz w:val="24"/>
          <w:szCs w:val="24"/>
          <w:lang w:val="en" w:eastAsia="en-AU"/>
        </w:rPr>
        <w:t xml:space="preserve">February Census </w:t>
      </w:r>
      <w:r w:rsidRPr="00D0026E">
        <w:rPr>
          <w:rFonts w:ascii="VIC-Regular" w:eastAsia="Times New Roman" w:hAnsi="VIC-Regular" w:cs="Times New Roman"/>
          <w:color w:val="011A3C"/>
          <w:sz w:val="24"/>
          <w:szCs w:val="24"/>
          <w:lang w:val="en" w:eastAsia="en-AU"/>
        </w:rPr>
        <w:t>enrolment details recorded in the Program for Students with Disabilities Management System (PSDMS) and established eligibility as at</w:t>
      </w:r>
      <w:r w:rsidR="00335627">
        <w:rPr>
          <w:rFonts w:ascii="VIC-Regular" w:eastAsia="Times New Roman" w:hAnsi="VIC-Regular" w:cs="Times New Roman"/>
          <w:color w:val="011A3C"/>
          <w:sz w:val="24"/>
          <w:szCs w:val="24"/>
          <w:lang w:val="en" w:eastAsia="en-AU"/>
        </w:rPr>
        <w:t xml:space="preserve"> Term 1</w:t>
      </w:r>
      <w:r w:rsidRPr="00D0026E">
        <w:rPr>
          <w:rFonts w:ascii="VIC-Regular" w:eastAsia="Times New Roman" w:hAnsi="VIC-Regular" w:cs="Times New Roman"/>
          <w:color w:val="011A3C"/>
          <w:sz w:val="24"/>
          <w:szCs w:val="24"/>
          <w:lang w:val="en" w:eastAsia="en-AU"/>
        </w:rPr>
        <w:t>.</w:t>
      </w:r>
    </w:p>
    <w:p w14:paraId="03620647" w14:textId="00A75D72" w:rsid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b/>
          <w:bCs/>
          <w:color w:val="011A3C"/>
          <w:sz w:val="24"/>
          <w:szCs w:val="24"/>
          <w:lang w:val="en" w:eastAsia="en-AU"/>
        </w:rPr>
        <w:t>Core Index allocation</w:t>
      </w:r>
      <w:r w:rsidRPr="00D0026E">
        <w:rPr>
          <w:rFonts w:ascii="VIC-Regular" w:eastAsia="Times New Roman" w:hAnsi="VIC-Regular" w:cs="Times New Roman"/>
          <w:color w:val="011A3C"/>
          <w:sz w:val="24"/>
          <w:szCs w:val="24"/>
          <w:lang w:val="en" w:eastAsia="en-AU"/>
        </w:rPr>
        <w:t xml:space="preserve"> = Eligible and approved student enrolments * stage funding rate</w:t>
      </w:r>
    </w:p>
    <w:p w14:paraId="00EFDFB0" w14:textId="35071220" w:rsidR="00D603B5" w:rsidRPr="00D0026E" w:rsidRDefault="00D603B5"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w:t>
      </w:r>
      <w:r>
        <w:rPr>
          <w:rFonts w:ascii="VIC-Regular" w:eastAsia="Times New Roman" w:hAnsi="VIC-Regular" w:cs="Times New Roman"/>
          <w:color w:val="011A3C"/>
          <w:sz w:val="24"/>
          <w:szCs w:val="24"/>
          <w:lang w:val="en" w:eastAsia="en-AU"/>
        </w:rPr>
        <w:t>school</w:t>
      </w:r>
      <w:r w:rsidRPr="00DB5C39">
        <w:rPr>
          <w:rFonts w:ascii="VIC-Regular" w:eastAsia="Times New Roman" w:hAnsi="VIC-Regular" w:cs="Times New Roman"/>
          <w:color w:val="011A3C"/>
          <w:sz w:val="24"/>
          <w:szCs w:val="24"/>
          <w:lang w:val="en" w:eastAsia="en-AU"/>
        </w:rPr>
        <w:t xml:space="preserve"> with </w:t>
      </w:r>
      <w:r>
        <w:rPr>
          <w:rFonts w:ascii="VIC-Regular" w:eastAsia="Times New Roman" w:hAnsi="VIC-Regular" w:cs="Times New Roman"/>
          <w:color w:val="011A3C"/>
          <w:sz w:val="24"/>
          <w:szCs w:val="24"/>
          <w:lang w:val="en" w:eastAsia="en-AU"/>
        </w:rPr>
        <w:t xml:space="preserve">10 stage 2 enrolments </w:t>
      </w:r>
      <w:r w:rsidRPr="00DB5C39">
        <w:rPr>
          <w:rFonts w:ascii="VIC-Regular" w:eastAsia="Times New Roman" w:hAnsi="VIC-Regular" w:cs="Times New Roman"/>
          <w:color w:val="011A3C"/>
          <w:sz w:val="24"/>
          <w:szCs w:val="24"/>
          <w:lang w:val="en" w:eastAsia="en-AU"/>
        </w:rPr>
        <w:t xml:space="preserve">would calculate their </w:t>
      </w:r>
      <w:r>
        <w:rPr>
          <w:rFonts w:ascii="VIC-Regular" w:eastAsia="Times New Roman" w:hAnsi="VIC-Regular" w:cs="Times New Roman"/>
          <w:color w:val="011A3C"/>
          <w:sz w:val="24"/>
          <w:szCs w:val="24"/>
          <w:lang w:val="en" w:eastAsia="en-AU"/>
        </w:rPr>
        <w:t xml:space="preserve">Stage 2 </w:t>
      </w:r>
      <w:r w:rsidRPr="00DB5C39">
        <w:rPr>
          <w:rFonts w:ascii="VIC-Regular" w:eastAsia="Times New Roman" w:hAnsi="VIC-Regular" w:cs="Times New Roman"/>
          <w:color w:val="011A3C"/>
          <w:sz w:val="24"/>
          <w:szCs w:val="24"/>
          <w:lang w:val="en" w:eastAsia="en-AU"/>
        </w:rPr>
        <w:t>funding as</w:t>
      </w:r>
      <w:r>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br/>
      </w:r>
      <w:r w:rsidRPr="00DB5C39">
        <w:rPr>
          <w:rFonts w:ascii="VIC-Regular" w:eastAsia="Times New Roman" w:hAnsi="VIC-Regular" w:cs="Times New Roman"/>
          <w:color w:val="011A3C"/>
          <w:sz w:val="24"/>
          <w:szCs w:val="24"/>
          <w:lang w:val="en" w:eastAsia="en-AU"/>
        </w:rPr>
        <w:t> </w:t>
      </w:r>
      <w:r>
        <w:rPr>
          <w:rFonts w:ascii="VIC-Regular" w:eastAsia="Times New Roman" w:hAnsi="VIC-Regular" w:cs="Times New Roman"/>
          <w:color w:val="011A3C"/>
          <w:sz w:val="24"/>
          <w:szCs w:val="24"/>
          <w:lang w:val="en" w:eastAsia="en-AU"/>
        </w:rPr>
        <w:t>Stage 2 enrolments (10)</w:t>
      </w:r>
      <w:r w:rsidRPr="00DB5C39">
        <w:rPr>
          <w:rFonts w:ascii="VIC-Regular" w:eastAsia="Times New Roman" w:hAnsi="VIC-Regular" w:cs="Times New Roman"/>
          <w:color w:val="011A3C"/>
          <w:sz w:val="24"/>
          <w:szCs w:val="24"/>
          <w:lang w:val="en" w:eastAsia="en-AU"/>
        </w:rPr>
        <w:t xml:space="preserve"> * </w:t>
      </w:r>
      <w:r>
        <w:rPr>
          <w:rFonts w:ascii="VIC-Regular" w:eastAsia="Times New Roman" w:hAnsi="VIC-Regular" w:cs="Times New Roman"/>
          <w:color w:val="011A3C"/>
          <w:sz w:val="24"/>
          <w:szCs w:val="24"/>
          <w:lang w:val="en" w:eastAsia="en-AU"/>
        </w:rPr>
        <w:t>Stage 2 rate.</w:t>
      </w:r>
      <w:r w:rsidR="00D36A42">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This would be repeated for all stages</w:t>
      </w:r>
      <w:r w:rsidR="002F4A99">
        <w:rPr>
          <w:rFonts w:ascii="VIC-Regular" w:eastAsia="Times New Roman" w:hAnsi="VIC-Regular" w:cs="Times New Roman"/>
          <w:color w:val="011A3C"/>
          <w:sz w:val="24"/>
          <w:szCs w:val="24"/>
          <w:lang w:val="en" w:eastAsia="en-AU"/>
        </w:rPr>
        <w:t xml:space="preserve"> dependent on school enrolments</w:t>
      </w:r>
      <w:r>
        <w:rPr>
          <w:rFonts w:ascii="VIC-Regular" w:eastAsia="Times New Roman" w:hAnsi="VIC-Regular" w:cs="Times New Roman"/>
          <w:color w:val="011A3C"/>
          <w:sz w:val="24"/>
          <w:szCs w:val="24"/>
          <w:lang w:val="en" w:eastAsia="en-AU"/>
        </w:rPr>
        <w:t>.</w:t>
      </w:r>
    </w:p>
    <w:p w14:paraId="62978F02" w14:textId="07BC08B5"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0"/>
        <w:gridCol w:w="2232"/>
        <w:gridCol w:w="1996"/>
        <w:gridCol w:w="1748"/>
        <w:gridCol w:w="1780"/>
      </w:tblGrid>
      <w:tr w:rsidR="00D0026E" w:rsidRPr="00D0026E" w14:paraId="25960045" w14:textId="77777777" w:rsidTr="00124D27">
        <w:trPr>
          <w:tblHeader/>
        </w:trPr>
        <w:tc>
          <w:tcPr>
            <w:tcW w:w="0" w:type="auto"/>
            <w:hideMark/>
          </w:tcPr>
          <w:p w14:paraId="6B5628EC"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Stage</w:t>
            </w:r>
          </w:p>
        </w:tc>
        <w:tc>
          <w:tcPr>
            <w:tcW w:w="0" w:type="auto"/>
            <w:hideMark/>
          </w:tcPr>
          <w:p w14:paraId="636CE6D6"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Age Range</w:t>
            </w:r>
          </w:p>
        </w:tc>
        <w:tc>
          <w:tcPr>
            <w:tcW w:w="0" w:type="auto"/>
            <w:hideMark/>
          </w:tcPr>
          <w:p w14:paraId="63E07861"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35771CDF"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359B659D" w14:textId="77777777" w:rsidR="00D0026E" w:rsidRPr="00371B75"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D36A42" w:rsidRPr="00D0026E" w14:paraId="135462D4" w14:textId="77777777" w:rsidTr="00124D27">
        <w:tc>
          <w:tcPr>
            <w:tcW w:w="0" w:type="auto"/>
            <w:hideMark/>
          </w:tcPr>
          <w:p w14:paraId="06950E71" w14:textId="77777777"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1F57C172" w14:textId="77777777"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 to 10</w:t>
            </w:r>
          </w:p>
        </w:tc>
        <w:tc>
          <w:tcPr>
            <w:tcW w:w="0" w:type="auto"/>
            <w:hideMark/>
          </w:tcPr>
          <w:p w14:paraId="04A4F554" w14:textId="53A6A9EC"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8,325</w:t>
            </w:r>
          </w:p>
        </w:tc>
        <w:tc>
          <w:tcPr>
            <w:tcW w:w="0" w:type="auto"/>
            <w:hideMark/>
          </w:tcPr>
          <w:p w14:paraId="476452DC" w14:textId="3BD195FB"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color w:val="323E4F" w:themeColor="text2" w:themeShade="BF"/>
              </w:rPr>
              <w:t>772</w:t>
            </w:r>
          </w:p>
        </w:tc>
        <w:tc>
          <w:tcPr>
            <w:tcW w:w="0" w:type="auto"/>
            <w:hideMark/>
          </w:tcPr>
          <w:p w14:paraId="6ECB965D" w14:textId="72739074" w:rsidR="00D36A42" w:rsidRPr="00371B75"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9,097</w:t>
            </w:r>
          </w:p>
        </w:tc>
      </w:tr>
      <w:tr w:rsidR="00532A6E" w:rsidRPr="00D0026E" w14:paraId="569904C0" w14:textId="77777777" w:rsidTr="00124D27">
        <w:tc>
          <w:tcPr>
            <w:tcW w:w="0" w:type="auto"/>
            <w:hideMark/>
          </w:tcPr>
          <w:p w14:paraId="27600801"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2A1FCF8D"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 to 16</w:t>
            </w:r>
          </w:p>
        </w:tc>
        <w:tc>
          <w:tcPr>
            <w:tcW w:w="0" w:type="auto"/>
            <w:hideMark/>
          </w:tcPr>
          <w:p w14:paraId="216A2F1D" w14:textId="56799CEA"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5,987</w:t>
            </w:r>
          </w:p>
        </w:tc>
        <w:tc>
          <w:tcPr>
            <w:tcW w:w="0" w:type="auto"/>
            <w:hideMark/>
          </w:tcPr>
          <w:p w14:paraId="019E2BAE" w14:textId="128590B5"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630</w:t>
            </w:r>
          </w:p>
        </w:tc>
        <w:tc>
          <w:tcPr>
            <w:tcW w:w="0" w:type="auto"/>
            <w:hideMark/>
          </w:tcPr>
          <w:p w14:paraId="2BFE51E8" w14:textId="290D1F1C"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6,617</w:t>
            </w:r>
          </w:p>
        </w:tc>
      </w:tr>
      <w:tr w:rsidR="00532A6E" w:rsidRPr="00D0026E" w14:paraId="03A70AF9" w14:textId="77777777" w:rsidTr="00124D27">
        <w:tc>
          <w:tcPr>
            <w:tcW w:w="0" w:type="auto"/>
            <w:hideMark/>
          </w:tcPr>
          <w:p w14:paraId="47582C6D"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1CAD3EB2" w14:textId="7777777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 to 18</w:t>
            </w:r>
          </w:p>
        </w:tc>
        <w:tc>
          <w:tcPr>
            <w:tcW w:w="0" w:type="auto"/>
            <w:hideMark/>
          </w:tcPr>
          <w:p w14:paraId="3D4AF820" w14:textId="776F473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6,566</w:t>
            </w:r>
          </w:p>
        </w:tc>
        <w:tc>
          <w:tcPr>
            <w:tcW w:w="0" w:type="auto"/>
            <w:hideMark/>
          </w:tcPr>
          <w:p w14:paraId="001DA5B7" w14:textId="030C0537"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677</w:t>
            </w:r>
          </w:p>
        </w:tc>
        <w:tc>
          <w:tcPr>
            <w:tcW w:w="0" w:type="auto"/>
            <w:hideMark/>
          </w:tcPr>
          <w:p w14:paraId="0C6B18E7" w14:textId="7F30C8BF" w:rsidR="00532A6E" w:rsidRPr="00371B75"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7,243</w:t>
            </w:r>
          </w:p>
        </w:tc>
      </w:tr>
    </w:tbl>
    <w:p w14:paraId="3A5CA506" w14:textId="650B4DB0"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Notes</w:t>
      </w:r>
    </w:p>
    <w:p w14:paraId="0F33B911" w14:textId="77777777"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For the allocation of funding in a specialist school setting, PSD eligibility and regional approval need to be established for each enrolled student. </w:t>
      </w:r>
    </w:p>
    <w:p w14:paraId="708E54B9" w14:textId="74D8C086" w:rsidR="00D0026E" w:rsidRDefault="00D0026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lastRenderedPageBreak/>
        <w:t>If it is deemed appropriate, a regional director has the discretion and the authority to approve the enrolment of a student ineligible for PSD support in a specialist school. The approved enrolment in such a circumstance identified by February Census enables core funding to be allocated in the SRP.</w:t>
      </w:r>
    </w:p>
    <w:p w14:paraId="1B54EDA3" w14:textId="77777777" w:rsidR="00D0026E" w:rsidRDefault="00D0026E">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19F1361" w14:textId="77777777" w:rsidR="00B6662C" w:rsidRPr="00B6662C" w:rsidRDefault="00B6662C" w:rsidP="00842992">
      <w:pPr>
        <w:pStyle w:val="Heading2"/>
      </w:pPr>
      <w:bookmarkStart w:id="10" w:name="_Toc52796172"/>
      <w:r w:rsidRPr="00B6662C">
        <w:lastRenderedPageBreak/>
        <w:t>Size Adjustment Supplementation (Reference 6)</w:t>
      </w:r>
      <w:bookmarkEnd w:id="10"/>
    </w:p>
    <w:p w14:paraId="4EB72031" w14:textId="07FD2FE5" w:rsid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A size adjustment allocation will apply to all specialist schools with a school aged enrolment of less than the enrolment threshold.</w:t>
      </w:r>
    </w:p>
    <w:p w14:paraId="496BD57C" w14:textId="77777777" w:rsidR="00A11F95" w:rsidRPr="00AA54CC"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r w:rsidRPr="00AA54CC">
        <w:rPr>
          <w:rFonts w:ascii="VIC-Bold" w:eastAsia="Times New Roman" w:hAnsi="VIC-Bold" w:cs="Times New Roman" w:hint="eastAsia"/>
          <w:b/>
          <w:bCs/>
          <w:color w:val="011A3C"/>
          <w:sz w:val="27"/>
          <w:szCs w:val="27"/>
          <w:lang w:val="en" w:eastAsia="en-AU"/>
        </w:rPr>
        <w:t> </w:t>
      </w:r>
    </w:p>
    <w:p w14:paraId="48E9E218" w14:textId="02549229" w:rsidR="00A11F95" w:rsidRPr="00A11F95" w:rsidRDefault="00A11F95" w:rsidP="00A11F9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The following school campus types receive the size adjustment supplementation</w:t>
      </w:r>
      <w:r w:rsidR="009D3396">
        <w:rPr>
          <w:rFonts w:ascii="VIC-Regular" w:eastAsia="Times New Roman" w:hAnsi="VIC-Regular" w:cs="Times New Roman"/>
          <w:color w:val="011A3C"/>
          <w:sz w:val="24"/>
          <w:szCs w:val="24"/>
          <w:lang w:val="en" w:eastAsia="en-AU"/>
        </w:rPr>
        <w:t xml:space="preserve"> </w:t>
      </w:r>
      <w:r w:rsidR="002F4A99">
        <w:rPr>
          <w:rFonts w:ascii="VIC-Regular" w:eastAsia="Times New Roman" w:hAnsi="VIC-Regular" w:cs="Times New Roman"/>
          <w:color w:val="011A3C"/>
          <w:sz w:val="24"/>
          <w:szCs w:val="24"/>
          <w:lang w:val="en" w:eastAsia="en-AU"/>
        </w:rPr>
        <w:t xml:space="preserve">funding </w:t>
      </w:r>
      <w:r w:rsidR="009D3396">
        <w:rPr>
          <w:rFonts w:ascii="VIC-Regular" w:eastAsia="Times New Roman" w:hAnsi="VIC-Regular" w:cs="Times New Roman"/>
          <w:color w:val="011A3C"/>
          <w:sz w:val="24"/>
          <w:szCs w:val="24"/>
          <w:lang w:val="en" w:eastAsia="en-AU"/>
        </w:rPr>
        <w:t>at school level</w:t>
      </w:r>
      <w:r w:rsidRPr="00A11F95">
        <w:rPr>
          <w:rFonts w:ascii="VIC-Regular" w:eastAsia="Times New Roman" w:hAnsi="VIC-Regular" w:cs="Times New Roman"/>
          <w:color w:val="011A3C"/>
          <w:sz w:val="24"/>
          <w:szCs w:val="24"/>
          <w:lang w:val="en" w:eastAsia="en-AU"/>
        </w:rPr>
        <w:t>:</w:t>
      </w:r>
    </w:p>
    <w:p w14:paraId="4F9389B6" w14:textId="77777777" w:rsidR="00A11F95" w:rsidRPr="00A11F95" w:rsidRDefault="00A11F95" w:rsidP="00AA54CC">
      <w:pPr>
        <w:numPr>
          <w:ilvl w:val="0"/>
          <w:numId w:val="1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Day special</w:t>
      </w:r>
    </w:p>
    <w:p w14:paraId="36C037E2" w14:textId="4D8093DB" w:rsidR="009D3396" w:rsidRPr="009D3396" w:rsidRDefault="00A11F95" w:rsidP="00AA54CC">
      <w:pPr>
        <w:numPr>
          <w:ilvl w:val="0"/>
          <w:numId w:val="1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Special developmental</w:t>
      </w:r>
    </w:p>
    <w:p w14:paraId="5EE8AB8F" w14:textId="6D067F68" w:rsidR="009D3396" w:rsidRPr="009D3396" w:rsidRDefault="009D3396" w:rsidP="009D3396">
      <w:pPr>
        <w:spacing w:before="100" w:beforeAutospacing="1" w:after="100" w:afterAutospacing="1" w:line="288" w:lineRule="atLeast"/>
        <w:ind w:left="360"/>
        <w:outlineLvl w:val="2"/>
        <w:rPr>
          <w:rFonts w:ascii="VIC-Bold" w:eastAsia="Times New Roman" w:hAnsi="VIC-Bold" w:cs="Times New Roman"/>
          <w:color w:val="011A3C"/>
          <w:sz w:val="27"/>
          <w:szCs w:val="27"/>
          <w:lang w:val="en" w:eastAsia="en-AU"/>
        </w:rPr>
      </w:pPr>
      <w:r>
        <w:rPr>
          <w:rFonts w:ascii="VIC-Regular" w:eastAsia="Times New Roman" w:hAnsi="VIC-Regular" w:cs="Times New Roman"/>
          <w:color w:val="011A3C"/>
          <w:sz w:val="24"/>
          <w:szCs w:val="24"/>
          <w:lang w:val="en" w:eastAsia="en-AU"/>
        </w:rPr>
        <w:t xml:space="preserve">Funding is calculated </w:t>
      </w:r>
      <w:r w:rsidR="00953A7E">
        <w:rPr>
          <w:rFonts w:ascii="VIC-Regular" w:eastAsia="Times New Roman" w:hAnsi="VIC-Regular" w:cs="Times New Roman"/>
          <w:color w:val="011A3C"/>
          <w:sz w:val="24"/>
          <w:szCs w:val="24"/>
          <w:lang w:val="en" w:eastAsia="en-AU"/>
        </w:rPr>
        <w:t>for each of the 4 school terms</w:t>
      </w:r>
      <w:r>
        <w:rPr>
          <w:rFonts w:ascii="VIC-Regular" w:eastAsia="Times New Roman" w:hAnsi="VIC-Regular" w:cs="Times New Roman"/>
          <w:color w:val="011A3C"/>
          <w:sz w:val="24"/>
          <w:szCs w:val="24"/>
          <w:lang w:val="en" w:eastAsia="en-AU"/>
        </w:rPr>
        <w:t xml:space="preserve"> and allocated through credit and cash funding</w:t>
      </w:r>
      <w:r w:rsidRPr="009D3396">
        <w:rPr>
          <w:rFonts w:ascii="VIC-Regular" w:eastAsia="Times New Roman" w:hAnsi="VIC-Regular" w:cs="Times New Roman"/>
          <w:color w:val="011A3C"/>
          <w:sz w:val="24"/>
          <w:szCs w:val="24"/>
          <w:lang w:val="en" w:eastAsia="en-AU"/>
        </w:rPr>
        <w:t xml:space="preserve">. </w:t>
      </w:r>
    </w:p>
    <w:p w14:paraId="0AB0C44F" w14:textId="03204150" w:rsidR="00A11F95" w:rsidRPr="00AA54CC"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81EA550" w14:textId="5268B84E" w:rsid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Where total enrolments at the school are less than 45 (enrolment threshold): Size Adjustment Supplementation = [45(enrolment threshold) - Enrolment] × Rate</w:t>
      </w:r>
    </w:p>
    <w:p w14:paraId="16737B47" w14:textId="0D5A9651" w:rsidR="00800331" w:rsidRPr="00AA54CC" w:rsidRDefault="00800331" w:rsidP="00B6662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AA54CC">
        <w:rPr>
          <w:rFonts w:ascii="VIC-Regular" w:eastAsia="Times New Roman" w:hAnsi="VIC-Regular" w:cs="Times New Roman"/>
          <w:b/>
          <w:bCs/>
          <w:color w:val="011A3C"/>
          <w:sz w:val="24"/>
          <w:szCs w:val="24"/>
          <w:lang w:val="en" w:eastAsia="en-AU"/>
        </w:rPr>
        <w:t>Example:</w:t>
      </w:r>
    </w:p>
    <w:p w14:paraId="674554C0" w14:textId="3828D9F5" w:rsidR="00800331" w:rsidRPr="00B6662C" w:rsidRDefault="00800331"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w:t>
      </w:r>
      <w:r>
        <w:rPr>
          <w:rFonts w:ascii="VIC-Regular" w:eastAsia="Times New Roman" w:hAnsi="VIC-Regular" w:cs="Times New Roman"/>
          <w:color w:val="011A3C"/>
          <w:sz w:val="24"/>
          <w:szCs w:val="24"/>
          <w:lang w:val="en" w:eastAsia="en-AU"/>
        </w:rPr>
        <w:t>school</w:t>
      </w:r>
      <w:r w:rsidRPr="00DB5C39">
        <w:rPr>
          <w:rFonts w:ascii="VIC-Regular" w:eastAsia="Times New Roman" w:hAnsi="VIC-Regular" w:cs="Times New Roman"/>
          <w:color w:val="011A3C"/>
          <w:sz w:val="24"/>
          <w:szCs w:val="24"/>
          <w:lang w:val="en" w:eastAsia="en-AU"/>
        </w:rPr>
        <w:t xml:space="preserve"> with </w:t>
      </w:r>
      <w:r>
        <w:rPr>
          <w:rFonts w:ascii="VIC-Regular" w:eastAsia="Times New Roman" w:hAnsi="VIC-Regular" w:cs="Times New Roman"/>
          <w:color w:val="011A3C"/>
          <w:sz w:val="24"/>
          <w:szCs w:val="24"/>
          <w:lang w:val="en" w:eastAsia="en-AU"/>
        </w:rPr>
        <w:t>35 enrolments would</w:t>
      </w:r>
      <w:r w:rsidRPr="00DB5C39">
        <w:rPr>
          <w:rFonts w:ascii="VIC-Regular" w:eastAsia="Times New Roman" w:hAnsi="VIC-Regular" w:cs="Times New Roman"/>
          <w:color w:val="011A3C"/>
          <w:sz w:val="24"/>
          <w:szCs w:val="24"/>
          <w:lang w:val="en" w:eastAsia="en-AU"/>
        </w:rPr>
        <w:t xml:space="preserve"> calculate their </w:t>
      </w:r>
      <w:r>
        <w:rPr>
          <w:rFonts w:ascii="VIC-Regular" w:eastAsia="Times New Roman" w:hAnsi="VIC-Regular" w:cs="Times New Roman"/>
          <w:color w:val="011A3C"/>
          <w:sz w:val="24"/>
          <w:szCs w:val="24"/>
          <w:lang w:val="en" w:eastAsia="en-AU"/>
        </w:rPr>
        <w:t xml:space="preserve">Size </w:t>
      </w:r>
      <w:r w:rsidR="004E099D">
        <w:rPr>
          <w:rFonts w:ascii="VIC-Regular" w:eastAsia="Times New Roman" w:hAnsi="VIC-Regular" w:cs="Times New Roman"/>
          <w:color w:val="011A3C"/>
          <w:sz w:val="24"/>
          <w:szCs w:val="24"/>
          <w:lang w:val="en" w:eastAsia="en-AU"/>
        </w:rPr>
        <w:t>Adjustment funding</w:t>
      </w:r>
      <w:r w:rsidRPr="00DB5C39">
        <w:rPr>
          <w:rFonts w:ascii="VIC-Regular" w:eastAsia="Times New Roman" w:hAnsi="VIC-Regular" w:cs="Times New Roman"/>
          <w:color w:val="011A3C"/>
          <w:sz w:val="24"/>
          <w:szCs w:val="24"/>
          <w:lang w:val="en" w:eastAsia="en-AU"/>
        </w:rPr>
        <w:t xml:space="preserve"> as</w:t>
      </w:r>
      <w:r>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br/>
      </w:r>
      <w:r w:rsidRPr="00B6662C">
        <w:rPr>
          <w:rFonts w:ascii="VIC-Regular" w:eastAsia="Times New Roman" w:hAnsi="VIC-Regular" w:cs="Times New Roman"/>
          <w:color w:val="011A3C"/>
          <w:sz w:val="24"/>
          <w:szCs w:val="24"/>
          <w:lang w:val="en" w:eastAsia="en-AU"/>
        </w:rPr>
        <w:t>[45(enrolment threshold) </w:t>
      </w:r>
      <w:r>
        <w:rPr>
          <w:rFonts w:ascii="VIC-Regular" w:eastAsia="Times New Roman" w:hAnsi="VIC-Regular" w:cs="Times New Roman"/>
          <w:color w:val="011A3C"/>
          <w:sz w:val="24"/>
          <w:szCs w:val="24"/>
          <w:lang w:val="en" w:eastAsia="en-AU"/>
        </w:rPr>
        <w:t>–</w:t>
      </w:r>
      <w:r w:rsidRPr="00B6662C">
        <w:rPr>
          <w:rFonts w:ascii="VIC-Regular" w:eastAsia="Times New Roman" w:hAnsi="VIC-Regular" w:cs="Times New Roman"/>
          <w:color w:val="011A3C"/>
          <w:sz w:val="24"/>
          <w:szCs w:val="24"/>
          <w:lang w:val="en" w:eastAsia="en-AU"/>
        </w:rPr>
        <w:t xml:space="preserve"> </w:t>
      </w:r>
      <w:r w:rsidR="004E099D" w:rsidRPr="00B6662C">
        <w:rPr>
          <w:rFonts w:ascii="VIC-Regular" w:eastAsia="Times New Roman" w:hAnsi="VIC-Regular" w:cs="Times New Roman"/>
          <w:color w:val="011A3C"/>
          <w:sz w:val="24"/>
          <w:szCs w:val="24"/>
          <w:lang w:val="en" w:eastAsia="en-AU"/>
        </w:rPr>
        <w:t>Enrolment</w:t>
      </w:r>
      <w:r w:rsidR="004E099D">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35)</w:t>
      </w:r>
      <w:r w:rsidRPr="00B6662C">
        <w:rPr>
          <w:rFonts w:ascii="VIC-Regular" w:eastAsia="Times New Roman" w:hAnsi="VIC-Regular" w:cs="Times New Roman"/>
          <w:color w:val="011A3C"/>
          <w:sz w:val="24"/>
          <w:szCs w:val="24"/>
          <w:lang w:val="en" w:eastAsia="en-AU"/>
        </w:rPr>
        <w:t>] × Rate</w:t>
      </w:r>
    </w:p>
    <w:p w14:paraId="7AB8D1B7" w14:textId="33B55CA3" w:rsidR="00B6662C" w:rsidRP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 xml:space="preserve">The maximum amount funded is limited to </w:t>
      </w:r>
      <w:r w:rsidR="00800331">
        <w:rPr>
          <w:rFonts w:ascii="VIC-Regular" w:eastAsia="Times New Roman" w:hAnsi="VIC-Regular" w:cs="Times New Roman"/>
          <w:color w:val="011A3C"/>
          <w:sz w:val="24"/>
          <w:szCs w:val="24"/>
          <w:lang w:val="en" w:eastAsia="en-AU"/>
        </w:rPr>
        <w:t>cap listed below</w:t>
      </w:r>
      <w:r w:rsidRPr="00B6662C">
        <w:rPr>
          <w:rFonts w:ascii="VIC-Regular" w:eastAsia="Times New Roman" w:hAnsi="VIC-Regular" w:cs="Times New Roman"/>
          <w:color w:val="011A3C"/>
          <w:sz w:val="24"/>
          <w:szCs w:val="24"/>
          <w:lang w:val="en" w:eastAsia="en-AU"/>
        </w:rPr>
        <w:t>.</w:t>
      </w:r>
    </w:p>
    <w:p w14:paraId="1F5249A7" w14:textId="0D924951" w:rsidR="00B6662C" w:rsidRPr="00AA54CC" w:rsidRDefault="00B6662C" w:rsidP="00B6662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p w14:paraId="32E03BFF" w14:textId="401371A2" w:rsidR="00B6662C" w:rsidRPr="00B6662C" w:rsidRDefault="00B6662C" w:rsidP="00AA54CC">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 xml:space="preserve">Per student rate: </w:t>
      </w:r>
      <w:r w:rsidR="009A4CFA">
        <w:rPr>
          <w:rFonts w:ascii="VIC-Regular" w:eastAsia="Times New Roman" w:hAnsi="VIC-Regular" w:cs="Times New Roman"/>
          <w:color w:val="011A3C"/>
          <w:sz w:val="24"/>
          <w:szCs w:val="24"/>
          <w:lang w:val="en" w:eastAsia="en-AU"/>
        </w:rPr>
        <w:t xml:space="preserve"> $</w:t>
      </w:r>
      <w:r w:rsidR="009A4CFA" w:rsidRPr="009A4CFA">
        <w:rPr>
          <w:rFonts w:ascii="VIC-Regular" w:eastAsia="Times New Roman" w:hAnsi="VIC-Regular" w:cs="Times New Roman"/>
          <w:color w:val="011A3C"/>
          <w:sz w:val="24"/>
          <w:szCs w:val="24"/>
          <w:lang w:val="en" w:eastAsia="en-AU"/>
        </w:rPr>
        <w:t>5,168</w:t>
      </w:r>
    </w:p>
    <w:p w14:paraId="5F6A858B" w14:textId="77777777" w:rsidR="00B6662C" w:rsidRPr="00B6662C" w:rsidRDefault="00B6662C" w:rsidP="00AA54CC">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Enrolment threshold: 45</w:t>
      </w:r>
    </w:p>
    <w:p w14:paraId="078589B6" w14:textId="6FFE3489" w:rsidR="00B6662C" w:rsidRPr="00701354" w:rsidRDefault="00B6662C" w:rsidP="00436054">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01354">
        <w:rPr>
          <w:rFonts w:ascii="VIC-Regular" w:eastAsia="Times New Roman" w:hAnsi="VIC-Regular" w:cs="Times New Roman"/>
          <w:color w:val="011A3C"/>
          <w:sz w:val="24"/>
          <w:szCs w:val="24"/>
          <w:lang w:val="en" w:eastAsia="en-AU"/>
        </w:rPr>
        <w:t xml:space="preserve">Maximum funded: </w:t>
      </w:r>
      <w:r w:rsidR="00701354">
        <w:rPr>
          <w:rFonts w:ascii="VIC-Regular" w:eastAsia="Times New Roman" w:hAnsi="VIC-Regular" w:cs="Times New Roman"/>
          <w:color w:val="011A3C"/>
          <w:sz w:val="24"/>
          <w:szCs w:val="24"/>
          <w:lang w:val="en" w:eastAsia="en-AU"/>
        </w:rPr>
        <w:t>$</w:t>
      </w:r>
      <w:r w:rsidR="00701354" w:rsidRPr="00701354">
        <w:rPr>
          <w:rFonts w:ascii="VIC-Regular" w:eastAsia="Times New Roman" w:hAnsi="VIC-Regular" w:cs="Times New Roman"/>
          <w:color w:val="011A3C"/>
          <w:sz w:val="24"/>
          <w:szCs w:val="24"/>
          <w:lang w:val="en" w:eastAsia="en-AU"/>
        </w:rPr>
        <w:t>117,925</w:t>
      </w:r>
    </w:p>
    <w:p w14:paraId="68BF67AB" w14:textId="77777777" w:rsidR="00B6662C" w:rsidRDefault="00B6662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17EACCC" w14:textId="77777777" w:rsidR="00A46A99" w:rsidRPr="00A46A99" w:rsidRDefault="00A46A99" w:rsidP="00842992">
      <w:pPr>
        <w:pStyle w:val="Heading2"/>
      </w:pPr>
      <w:bookmarkStart w:id="11" w:name="_Toc52796173"/>
      <w:r w:rsidRPr="00A46A99">
        <w:lastRenderedPageBreak/>
        <w:t>Approved Early Education Program (Reference 7)</w:t>
      </w:r>
      <w:bookmarkEnd w:id="11"/>
    </w:p>
    <w:p w14:paraId="73B7BE5C" w14:textId="7BFCBDDB" w:rsidR="00A46A99"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A99">
        <w:rPr>
          <w:rFonts w:ascii="VIC-Regular" w:eastAsia="Times New Roman" w:hAnsi="VIC-Regular" w:cs="Times New Roman"/>
          <w:color w:val="011A3C"/>
          <w:sz w:val="24"/>
          <w:szCs w:val="24"/>
          <w:lang w:val="en" w:eastAsia="en-AU"/>
        </w:rPr>
        <w:t>A defined group of specialist schools maintain early education programs for preschool aged children with disability between the ages of 2 years and 8 months and 4 years and 8 months.</w:t>
      </w:r>
      <w:r w:rsidR="0052364D">
        <w:rPr>
          <w:rFonts w:ascii="VIC-Regular" w:eastAsia="Times New Roman" w:hAnsi="VIC-Regular" w:cs="Times New Roman"/>
          <w:color w:val="011A3C"/>
          <w:sz w:val="24"/>
          <w:szCs w:val="24"/>
          <w:lang w:val="en" w:eastAsia="en-AU"/>
        </w:rPr>
        <w:t xml:space="preserve"> Funding is allocated at school level.</w:t>
      </w:r>
    </w:p>
    <w:p w14:paraId="47F209DF" w14:textId="3E65025F" w:rsidR="00AD03DE"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A99">
        <w:rPr>
          <w:rFonts w:ascii="VIC-Regular" w:eastAsia="Times New Roman" w:hAnsi="VIC-Regular" w:cs="Times New Roman"/>
          <w:color w:val="011A3C"/>
          <w:sz w:val="24"/>
          <w:szCs w:val="24"/>
          <w:lang w:val="en" w:eastAsia="en-AU"/>
        </w:rPr>
        <w:t>Allocations to these schools are based on a resource agreement.</w:t>
      </w:r>
    </w:p>
    <w:p w14:paraId="4418C32A" w14:textId="46DDC09C" w:rsidR="00AD03DE" w:rsidRPr="00AA54CC" w:rsidRDefault="00AD03DE" w:rsidP="00AA54C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4547A36E" w14:textId="5E3AFF08" w:rsidR="00AD03DE"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Approved Early Education Funding is calculated as:</w:t>
      </w:r>
    </w:p>
    <w:p w14:paraId="6B0ECEB9" w14:textId="1536B897" w:rsidR="00A46A99"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FTE at school level * Resource agreement rate </w:t>
      </w:r>
    </w:p>
    <w:p w14:paraId="118E4269" w14:textId="063259EB" w:rsidR="0052364D" w:rsidRPr="00A46A99"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Note: Furlong </w:t>
      </w:r>
      <w:r w:rsidRPr="00AD03DE">
        <w:rPr>
          <w:rFonts w:ascii="VIC-Regular" w:eastAsia="Times New Roman" w:hAnsi="VIC-Regular" w:cs="Times New Roman"/>
          <w:color w:val="011A3C"/>
          <w:sz w:val="24"/>
          <w:szCs w:val="24"/>
          <w:lang w:val="en" w:eastAsia="en-AU"/>
        </w:rPr>
        <w:t>Park School</w:t>
      </w:r>
      <w:r w:rsidR="009A4CFA">
        <w:rPr>
          <w:rFonts w:ascii="VIC-Regular" w:eastAsia="Times New Roman" w:hAnsi="VIC-Regular" w:cs="Times New Roman"/>
          <w:color w:val="011A3C"/>
          <w:sz w:val="24"/>
          <w:szCs w:val="24"/>
          <w:lang w:val="en" w:eastAsia="en-AU"/>
        </w:rPr>
        <w:t xml:space="preserve"> is the exception</w:t>
      </w:r>
      <w:r>
        <w:rPr>
          <w:rFonts w:ascii="VIC-Regular" w:eastAsia="Times New Roman" w:hAnsi="VIC-Regular" w:cs="Times New Roman"/>
          <w:color w:val="011A3C"/>
          <w:sz w:val="24"/>
          <w:szCs w:val="24"/>
          <w:lang w:val="en" w:eastAsia="en-AU"/>
        </w:rPr>
        <w:t>.</w:t>
      </w:r>
    </w:p>
    <w:p w14:paraId="14B49C31" w14:textId="00317A4F" w:rsidR="00A46A99" w:rsidRDefault="00AD03D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D03DE">
        <w:rPr>
          <w:rFonts w:ascii="VIC-Regular" w:eastAsia="Times New Roman" w:hAnsi="VIC-Regular" w:cs="Times New Roman"/>
          <w:color w:val="011A3C"/>
          <w:sz w:val="24"/>
          <w:szCs w:val="24"/>
          <w:lang w:val="en" w:eastAsia="en-AU"/>
        </w:rPr>
        <w:t>Funding is calculated at the Indicative budget cycle</w:t>
      </w:r>
      <w:r>
        <w:rPr>
          <w:rFonts w:ascii="VIC-Regular" w:eastAsia="Times New Roman" w:hAnsi="VIC-Regular" w:cs="Times New Roman"/>
          <w:color w:val="011A3C"/>
          <w:sz w:val="24"/>
          <w:szCs w:val="24"/>
          <w:lang w:val="en" w:eastAsia="en-AU"/>
        </w:rPr>
        <w:t xml:space="preserve">, </w:t>
      </w:r>
      <w:r w:rsidRPr="00AD03DE">
        <w:rPr>
          <w:rFonts w:ascii="VIC-Regular" w:eastAsia="Times New Roman" w:hAnsi="VIC-Regular" w:cs="Times New Roman"/>
          <w:color w:val="011A3C"/>
          <w:sz w:val="24"/>
          <w:szCs w:val="24"/>
          <w:lang w:val="en" w:eastAsia="en-AU"/>
        </w:rPr>
        <w:t>allocation of funds is provided through credit and cash funding</w:t>
      </w:r>
      <w:r>
        <w:rPr>
          <w:rFonts w:ascii="VIC-Regular" w:eastAsia="Times New Roman" w:hAnsi="VIC-Regular" w:cs="Times New Roman"/>
          <w:color w:val="011A3C"/>
          <w:sz w:val="24"/>
          <w:szCs w:val="24"/>
          <w:lang w:val="en" w:eastAsia="en-AU"/>
        </w:rPr>
        <w:t>.</w:t>
      </w:r>
    </w:p>
    <w:p w14:paraId="7C1DC3C3" w14:textId="54B04072" w:rsidR="000935F0" w:rsidRPr="00AA54CC" w:rsidRDefault="000935F0" w:rsidP="000935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p w14:paraId="5EE61136" w14:textId="08A53879" w:rsidR="00A46A99" w:rsidRDefault="000935F0">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Resource agreement rate = </w:t>
      </w:r>
      <w:r w:rsidR="009A4CFA" w:rsidRPr="009A4CFA">
        <w:t xml:space="preserve"> </w:t>
      </w:r>
      <w:r w:rsidR="009A4CFA">
        <w:t>$</w:t>
      </w:r>
      <w:r w:rsidR="009A4CFA" w:rsidRPr="009A4CFA">
        <w:rPr>
          <w:rFonts w:ascii="VIC-Regular" w:eastAsia="Times New Roman" w:hAnsi="VIC-Regular" w:cs="Times New Roman"/>
          <w:color w:val="011A3C"/>
          <w:sz w:val="24"/>
          <w:szCs w:val="24"/>
          <w:lang w:val="en" w:eastAsia="en-AU"/>
        </w:rPr>
        <w:t>26,999</w:t>
      </w:r>
      <w:r w:rsidR="00A46A99">
        <w:rPr>
          <w:rFonts w:ascii="VIC-Regular" w:eastAsia="Times New Roman" w:hAnsi="VIC-Regular" w:cs="Times New Roman"/>
          <w:color w:val="011A3C"/>
          <w:sz w:val="24"/>
          <w:szCs w:val="24"/>
          <w:lang w:val="en" w:eastAsia="en-AU"/>
        </w:rPr>
        <w:br w:type="page"/>
      </w:r>
    </w:p>
    <w:p w14:paraId="4FA69578" w14:textId="77777777" w:rsidR="00731961" w:rsidRPr="00731961" w:rsidRDefault="00731961" w:rsidP="00842992">
      <w:pPr>
        <w:pStyle w:val="Heading2"/>
      </w:pPr>
      <w:bookmarkStart w:id="12" w:name="_Toc52796174"/>
      <w:r w:rsidRPr="00731961">
        <w:lastRenderedPageBreak/>
        <w:t>Principal Salary Adjustment (Reference 8)</w:t>
      </w:r>
      <w:bookmarkEnd w:id="12"/>
    </w:p>
    <w:p w14:paraId="328F46D7" w14:textId="3A5EC5F9" w:rsidR="00731961" w:rsidRDefault="00731961"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31961">
        <w:rPr>
          <w:rFonts w:ascii="VIC-Regular" w:eastAsia="Times New Roman" w:hAnsi="VIC-Regular" w:cs="Times New Roman"/>
          <w:color w:val="011A3C"/>
          <w:sz w:val="24"/>
          <w:szCs w:val="24"/>
          <w:lang w:val="en" w:eastAsia="en-AU"/>
        </w:rPr>
        <w:t>This item is included in the SRP for specialist schools. Its continuation will be subject to review.</w:t>
      </w:r>
      <w:r w:rsidR="009A4CFA">
        <w:rPr>
          <w:rFonts w:ascii="VIC-Regular" w:eastAsia="Times New Roman" w:hAnsi="VIC-Regular" w:cs="Times New Roman"/>
          <w:color w:val="011A3C"/>
          <w:sz w:val="24"/>
          <w:szCs w:val="24"/>
          <w:lang w:val="en" w:eastAsia="en-AU"/>
        </w:rPr>
        <w:t xml:space="preserve"> Changes associated with the review will be implemented in the 2022 Indicative SRP.</w:t>
      </w:r>
    </w:p>
    <w:p w14:paraId="6C76BA64" w14:textId="77777777" w:rsidR="00731961" w:rsidRDefault="0073196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F281BDE" w14:textId="77777777" w:rsidR="00017551" w:rsidRPr="00017551" w:rsidRDefault="00017551" w:rsidP="00842992">
      <w:pPr>
        <w:pStyle w:val="Heading2"/>
      </w:pPr>
      <w:bookmarkStart w:id="13" w:name="_Toc52796175"/>
      <w:r w:rsidRPr="00017551">
        <w:lastRenderedPageBreak/>
        <w:t>Language and Learning Disabilities Support Program (Reference 10)</w:t>
      </w:r>
      <w:bookmarkEnd w:id="13"/>
    </w:p>
    <w:p w14:paraId="10C1BC1D"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The Language and Learning Disabilities Support Program provides schools with resources to support the delivery of teaching and learning programs for students with autism, dyslexia, language or other learning disabilities. Supports may include:</w:t>
      </w:r>
    </w:p>
    <w:p w14:paraId="735A5B4E"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Teaching staff</w:t>
      </w:r>
    </w:p>
    <w:p w14:paraId="6C6DB712"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Specialist education or allied health staff</w:t>
      </w:r>
    </w:p>
    <w:p w14:paraId="48151191"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Consultancy or professional development</w:t>
      </w:r>
    </w:p>
    <w:p w14:paraId="6B4FD465"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Specialist equipment or materials</w:t>
      </w:r>
    </w:p>
    <w:p w14:paraId="70941608"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Education support staff</w:t>
      </w:r>
    </w:p>
    <w:p w14:paraId="7C1E2E1C"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The quality of teaching has one of the largest impacts on student learning. Building teaching excellence is central to making schools more inclusive and improving outcomes for students with learning support needs. </w:t>
      </w:r>
    </w:p>
    <w:p w14:paraId="2CDBD618"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In delivering effective programs for students with disabilities and additional learning needs, school leaders and teachers should ensure their practice is:</w:t>
      </w:r>
    </w:p>
    <w:p w14:paraId="08B11C2E" w14:textId="77777777" w:rsidR="00017551" w:rsidRPr="00017551" w:rsidRDefault="00017551" w:rsidP="00AA54CC">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guided by the </w:t>
      </w:r>
      <w:hyperlink r:id="rId16" w:history="1">
        <w:r w:rsidRPr="00017551">
          <w:rPr>
            <w:rFonts w:ascii="VIC-Regular" w:eastAsia="Times New Roman" w:hAnsi="VIC-Regular" w:cs="Times New Roman"/>
            <w:color w:val="011A3C"/>
            <w:sz w:val="24"/>
            <w:szCs w:val="24"/>
            <w:lang w:val="en" w:eastAsia="en-AU"/>
          </w:rPr>
          <w:t>Victorian Curriculum, inclusive of Levels A-D and Foundation to 10</w:t>
        </w:r>
      </w:hyperlink>
    </w:p>
    <w:p w14:paraId="0D92D2CD" w14:textId="77777777" w:rsidR="00017551" w:rsidRPr="00017551" w:rsidRDefault="00017551" w:rsidP="00AA54CC">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informed by </w:t>
      </w:r>
      <w:hyperlink r:id="rId17" w:history="1">
        <w:r w:rsidRPr="00017551">
          <w:rPr>
            <w:rFonts w:ascii="VIC-Regular" w:eastAsia="Times New Roman" w:hAnsi="VIC-Regular" w:cs="Times New Roman"/>
            <w:color w:val="011A3C"/>
            <w:sz w:val="24"/>
            <w:szCs w:val="24"/>
            <w:lang w:val="en" w:eastAsia="en-AU"/>
          </w:rPr>
          <w:t>disability specific professional learning activities undertaken annually as part of teacher registration requirements</w:t>
        </w:r>
      </w:hyperlink>
    </w:p>
    <w:p w14:paraId="54ADBDE4" w14:textId="77777777" w:rsidR="00017551" w:rsidRPr="00017551" w:rsidRDefault="00017551" w:rsidP="00AA54CC">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evidence based and planned, implemented and monitored in line with the </w:t>
      </w:r>
      <w:hyperlink r:id="rId18" w:history="1">
        <w:r w:rsidRPr="00017551">
          <w:rPr>
            <w:rFonts w:ascii="VIC-Regular" w:eastAsia="Times New Roman" w:hAnsi="VIC-Regular" w:cs="Times New Roman"/>
            <w:color w:val="011A3C"/>
            <w:sz w:val="24"/>
            <w:szCs w:val="24"/>
            <w:lang w:val="en" w:eastAsia="en-AU"/>
          </w:rPr>
          <w:t>Framework for Improving Student Outcomes</w:t>
        </w:r>
      </w:hyperlink>
    </w:p>
    <w:p w14:paraId="285AAF3E"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In addition, school policy and practice should reflect collaboration between the school leaders and teachers, parent/guardian/carer(s), specialist education or allied health staff to develop agreed understandings and responses to students' needs, including students with autism, dyslexia, language or other learning disabilities.    </w:t>
      </w:r>
    </w:p>
    <w:p w14:paraId="3A01A814"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Guidelines are available to assist schools in supporting students with disabilities and additional learning needs, see: </w:t>
      </w:r>
      <w:hyperlink r:id="rId19" w:history="1">
        <w:r w:rsidRPr="00017551">
          <w:rPr>
            <w:rFonts w:ascii="VIC-Regular" w:eastAsia="Times New Roman" w:hAnsi="VIC-Regular" w:cs="Times New Roman"/>
            <w:color w:val="011A3C"/>
            <w:sz w:val="24"/>
            <w:szCs w:val="24"/>
            <w:lang w:val="en" w:eastAsia="en-AU"/>
          </w:rPr>
          <w:t>Student Support Groups</w:t>
        </w:r>
      </w:hyperlink>
      <w:r w:rsidRPr="00017551">
        <w:rPr>
          <w:rFonts w:ascii="VIC-Regular" w:eastAsia="Times New Roman" w:hAnsi="VIC-Regular" w:cs="Times New Roman"/>
          <w:color w:val="011A3C"/>
          <w:sz w:val="24"/>
          <w:szCs w:val="24"/>
          <w:lang w:val="en" w:eastAsia="en-AU"/>
        </w:rPr>
        <w:t>.</w:t>
      </w:r>
    </w:p>
    <w:p w14:paraId="6C99D6D6"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For further information, see </w:t>
      </w:r>
      <w:hyperlink r:id="rId20" w:history="1">
        <w:r w:rsidRPr="00017551">
          <w:rPr>
            <w:rFonts w:ascii="VIC-Regular" w:eastAsia="Times New Roman" w:hAnsi="VIC-Regular" w:cs="Times New Roman"/>
            <w:color w:val="011A3C"/>
            <w:sz w:val="24"/>
            <w:szCs w:val="24"/>
            <w:lang w:val="en" w:eastAsia="en-AU"/>
          </w:rPr>
          <w:t>Students with a Disability</w:t>
        </w:r>
      </w:hyperlink>
      <w:r w:rsidRPr="00017551">
        <w:rPr>
          <w:rFonts w:ascii="VIC-Regular" w:eastAsia="Times New Roman" w:hAnsi="VIC-Regular" w:cs="Times New Roman"/>
          <w:color w:val="011A3C"/>
          <w:sz w:val="24"/>
          <w:szCs w:val="24"/>
          <w:lang w:val="en" w:eastAsia="en-AU"/>
        </w:rPr>
        <w:t>.</w:t>
      </w:r>
    </w:p>
    <w:p w14:paraId="64D3CC32"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lastRenderedPageBreak/>
        <w:t>Language and Learning Disabilities Support Program resources should not be targeted to students in receipt of supplementary funding through the Program for Students with Disabilities. </w:t>
      </w:r>
    </w:p>
    <w:p w14:paraId="2C4D8F21" w14:textId="77777777"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3678AD38"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Schools with the following campus types and enrolments are eligible for the language and learning disabilities support program funding at campus level.</w:t>
      </w:r>
    </w:p>
    <w:p w14:paraId="4E9A1B14" w14:textId="77777777" w:rsidR="00017551" w:rsidRPr="00017551" w:rsidRDefault="00017551" w:rsidP="00AA54CC">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Primary</w:t>
      </w:r>
    </w:p>
    <w:p w14:paraId="090DB106" w14:textId="77777777" w:rsidR="00017551" w:rsidRPr="00017551" w:rsidRDefault="00017551" w:rsidP="00AA54CC">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Secondary — Years 7 to 9 only</w:t>
      </w:r>
    </w:p>
    <w:p w14:paraId="71EC83D3" w14:textId="77777777" w:rsidR="00317934" w:rsidRDefault="00017551" w:rsidP="00AA54CC">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17934">
        <w:rPr>
          <w:rFonts w:ascii="VIC-Regular" w:eastAsia="Times New Roman" w:hAnsi="VIC-Regular" w:cs="Times New Roman"/>
          <w:color w:val="011A3C"/>
          <w:sz w:val="24"/>
          <w:szCs w:val="24"/>
          <w:lang w:val="en" w:eastAsia="en-AU"/>
        </w:rPr>
        <w:t xml:space="preserve">Primary/Secondary </w:t>
      </w:r>
      <w:r w:rsidR="00317934" w:rsidRPr="00317934">
        <w:rPr>
          <w:rFonts w:ascii="VIC-Regular" w:eastAsia="Times New Roman" w:hAnsi="VIC-Regular" w:cs="Times New Roman"/>
          <w:color w:val="011A3C"/>
          <w:sz w:val="24"/>
          <w:szCs w:val="24"/>
          <w:lang w:val="en" w:eastAsia="en-AU"/>
        </w:rPr>
        <w:t xml:space="preserve">Combined </w:t>
      </w:r>
      <w:r w:rsidRPr="00317934">
        <w:rPr>
          <w:rFonts w:ascii="VIC-Regular" w:eastAsia="Times New Roman" w:hAnsi="VIC-Regular" w:cs="Times New Roman"/>
          <w:color w:val="011A3C"/>
          <w:sz w:val="24"/>
          <w:szCs w:val="24"/>
          <w:lang w:val="en" w:eastAsia="en-AU"/>
        </w:rPr>
        <w:t xml:space="preserve">— Years 7 to 9 only </w:t>
      </w:r>
    </w:p>
    <w:p w14:paraId="672ADF73" w14:textId="1B00798C" w:rsidR="005E41D9" w:rsidRPr="00317934" w:rsidRDefault="005E41D9" w:rsidP="0031793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17934">
        <w:rPr>
          <w:rFonts w:ascii="VIC-Regular" w:eastAsia="Times New Roman" w:hAnsi="VIC-Regular" w:cs="Times New Roman"/>
          <w:color w:val="011A3C"/>
          <w:sz w:val="24"/>
          <w:szCs w:val="24"/>
          <w:lang w:val="en" w:eastAsia="en-AU"/>
        </w:rPr>
        <w:t>Funding is calculated at the Indicative, Confirmed and Revised budget cycles</w:t>
      </w:r>
      <w:r w:rsidR="00317934">
        <w:rPr>
          <w:rFonts w:ascii="VIC-Regular" w:eastAsia="Times New Roman" w:hAnsi="VIC-Regular" w:cs="Times New Roman"/>
          <w:color w:val="011A3C"/>
          <w:sz w:val="24"/>
          <w:szCs w:val="24"/>
          <w:lang w:val="en" w:eastAsia="en-AU"/>
        </w:rPr>
        <w:t>,</w:t>
      </w:r>
      <w:r w:rsidRPr="00317934">
        <w:rPr>
          <w:rFonts w:ascii="VIC-Regular" w:eastAsia="Times New Roman" w:hAnsi="VIC-Regular" w:cs="Times New Roman"/>
          <w:color w:val="011A3C"/>
          <w:sz w:val="24"/>
          <w:szCs w:val="24"/>
          <w:lang w:val="en" w:eastAsia="en-AU"/>
        </w:rPr>
        <w:t xml:space="preserve"> </w:t>
      </w:r>
      <w:r w:rsidR="004E1F6F">
        <w:rPr>
          <w:rFonts w:ascii="VIC-Regular" w:eastAsia="Times New Roman" w:hAnsi="VIC-Regular" w:cs="Times New Roman"/>
          <w:color w:val="011A3C"/>
          <w:sz w:val="24"/>
          <w:szCs w:val="24"/>
          <w:lang w:val="en" w:eastAsia="en-AU"/>
        </w:rPr>
        <w:t xml:space="preserve">funding is </w:t>
      </w:r>
      <w:r w:rsidRPr="00317934">
        <w:rPr>
          <w:rFonts w:ascii="VIC-Regular" w:eastAsia="Times New Roman" w:hAnsi="VIC-Regular" w:cs="Times New Roman"/>
          <w:color w:val="011A3C"/>
          <w:sz w:val="24"/>
          <w:szCs w:val="24"/>
          <w:lang w:val="en" w:eastAsia="en-AU"/>
        </w:rPr>
        <w:t>provided through credit funding</w:t>
      </w:r>
      <w:r w:rsidR="004E1F6F">
        <w:rPr>
          <w:rFonts w:ascii="VIC-Regular" w:eastAsia="Times New Roman" w:hAnsi="VIC-Regular" w:cs="Times New Roman"/>
          <w:color w:val="011A3C"/>
          <w:sz w:val="24"/>
          <w:szCs w:val="24"/>
          <w:lang w:val="en" w:eastAsia="en-AU"/>
        </w:rPr>
        <w:t>.</w:t>
      </w:r>
    </w:p>
    <w:p w14:paraId="3C89B210" w14:textId="3D296A67"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0980E443" w14:textId="1E1ECAAB"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The allocation is calculated in two parts.  First, a weighted per student allocation based on the Stages of Schooling for Prep to 9 students. Second, a further allocation for </w:t>
      </w:r>
      <w:r w:rsidR="00CF1CCA">
        <w:rPr>
          <w:rFonts w:ascii="VIC-Regular" w:eastAsia="Times New Roman" w:hAnsi="VIC-Regular" w:cs="Times New Roman"/>
          <w:color w:val="011A3C"/>
          <w:sz w:val="24"/>
          <w:szCs w:val="24"/>
          <w:lang w:val="en" w:eastAsia="en-AU"/>
        </w:rPr>
        <w:t>campuses</w:t>
      </w:r>
      <w:r w:rsidR="00CF1CCA" w:rsidRPr="00017551">
        <w:rPr>
          <w:rFonts w:ascii="VIC-Regular" w:eastAsia="Times New Roman" w:hAnsi="VIC-Regular" w:cs="Times New Roman"/>
          <w:color w:val="011A3C"/>
          <w:sz w:val="24"/>
          <w:szCs w:val="24"/>
          <w:lang w:val="en" w:eastAsia="en-AU"/>
        </w:rPr>
        <w:t xml:space="preserve"> </w:t>
      </w:r>
      <w:r w:rsidRPr="00017551">
        <w:rPr>
          <w:rFonts w:ascii="VIC-Regular" w:eastAsia="Times New Roman" w:hAnsi="VIC-Regular" w:cs="Times New Roman"/>
          <w:color w:val="011A3C"/>
          <w:sz w:val="24"/>
          <w:szCs w:val="24"/>
          <w:lang w:val="en" w:eastAsia="en-AU"/>
        </w:rPr>
        <w:t>with a Student Family Occupation (SFO) index above a density threshold of 0.4606.</w:t>
      </w:r>
    </w:p>
    <w:p w14:paraId="30C186A7"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b/>
          <w:bCs/>
          <w:color w:val="011A3C"/>
          <w:sz w:val="24"/>
          <w:szCs w:val="24"/>
          <w:lang w:val="en" w:eastAsia="en-AU"/>
        </w:rPr>
        <w:t>Per Student Allocation (Part 1)</w:t>
      </w:r>
      <w:r w:rsidRPr="00017551">
        <w:rPr>
          <w:rFonts w:ascii="VIC-Regular" w:eastAsia="Times New Roman" w:hAnsi="VIC-Regular" w:cs="Times New Roman"/>
          <w:color w:val="011A3C"/>
          <w:sz w:val="24"/>
          <w:szCs w:val="24"/>
          <w:lang w:val="en" w:eastAsia="en-AU"/>
        </w:rPr>
        <w:t xml:space="preserve"> = Base Allocation + (Stages of Schooling Enrolment x Stages of Schooling weighted Rate)</w:t>
      </w:r>
    </w:p>
    <w:p w14:paraId="0B5783DF"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b/>
          <w:bCs/>
          <w:color w:val="011A3C"/>
          <w:sz w:val="24"/>
          <w:szCs w:val="24"/>
          <w:lang w:val="en" w:eastAsia="en-AU"/>
        </w:rPr>
        <w:t>SFO Allocation (Part 2 if applicable)</w:t>
      </w:r>
      <w:r w:rsidRPr="00017551">
        <w:rPr>
          <w:rFonts w:ascii="VIC-Regular" w:eastAsia="Times New Roman" w:hAnsi="VIC-Regular" w:cs="Times New Roman"/>
          <w:color w:val="011A3C"/>
          <w:sz w:val="24"/>
          <w:szCs w:val="24"/>
          <w:lang w:val="en" w:eastAsia="en-AU"/>
        </w:rPr>
        <w:t xml:space="preserve"> = Stages of Schooling enrolment x Stages of schooling weighted SFO student rate x (School SFO Index – SFO threshold)</w:t>
      </w:r>
    </w:p>
    <w:p w14:paraId="376AB543"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14" w:name="_Hlk48116568"/>
      <w:r w:rsidRPr="00017551">
        <w:rPr>
          <w:rFonts w:ascii="VIC-Regular" w:eastAsia="Times New Roman" w:hAnsi="VIC-Regular" w:cs="Times New Roman"/>
          <w:b/>
          <w:bCs/>
          <w:color w:val="011A3C"/>
          <w:sz w:val="24"/>
          <w:szCs w:val="24"/>
          <w:lang w:val="en" w:eastAsia="en-AU"/>
        </w:rPr>
        <w:t>Total Allocation</w:t>
      </w:r>
      <w:r w:rsidRPr="00017551">
        <w:rPr>
          <w:rFonts w:ascii="VIC-Regular" w:eastAsia="Times New Roman" w:hAnsi="VIC-Regular" w:cs="Times New Roman"/>
          <w:color w:val="011A3C"/>
          <w:sz w:val="24"/>
          <w:szCs w:val="24"/>
          <w:lang w:val="en" w:eastAsia="en-AU"/>
        </w:rPr>
        <w:t xml:space="preserve"> = Per Student allocation + SFO Allocation</w:t>
      </w:r>
    </w:p>
    <w:bookmarkEnd w:id="14"/>
    <w:p w14:paraId="13B8AE79" w14:textId="1E51B47A" w:rsid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Minimum Allocation for all primary and secondary </w:t>
      </w:r>
      <w:r w:rsidR="00CF1CCA">
        <w:rPr>
          <w:rFonts w:ascii="VIC-Regular" w:eastAsia="Times New Roman" w:hAnsi="VIC-Regular" w:cs="Times New Roman"/>
          <w:color w:val="011A3C"/>
          <w:sz w:val="24"/>
          <w:szCs w:val="24"/>
          <w:lang w:val="en" w:eastAsia="en-AU"/>
        </w:rPr>
        <w:t>campuses</w:t>
      </w:r>
      <w:r w:rsidR="00CF1CCA" w:rsidRPr="00017551">
        <w:rPr>
          <w:rFonts w:ascii="VIC-Regular" w:eastAsia="Times New Roman" w:hAnsi="VIC-Regular" w:cs="Times New Roman"/>
          <w:color w:val="011A3C"/>
          <w:sz w:val="24"/>
          <w:szCs w:val="24"/>
          <w:lang w:val="en" w:eastAsia="en-AU"/>
        </w:rPr>
        <w:t xml:space="preserve"> </w:t>
      </w:r>
      <w:r w:rsidRPr="00017551">
        <w:rPr>
          <w:rFonts w:ascii="VIC-Regular" w:eastAsia="Times New Roman" w:hAnsi="VIC-Regular" w:cs="Times New Roman"/>
          <w:color w:val="011A3C"/>
          <w:sz w:val="24"/>
          <w:szCs w:val="24"/>
          <w:lang w:val="en" w:eastAsia="en-AU"/>
        </w:rPr>
        <w:t>= $5,000.00</w:t>
      </w:r>
    </w:p>
    <w:p w14:paraId="67F28D39" w14:textId="3616C8AB" w:rsidR="009D3396" w:rsidRPr="00AA54CC" w:rsidRDefault="009D3396" w:rsidP="009D3396">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Example:</w:t>
      </w:r>
      <w:r w:rsidR="00B77069" w:rsidRPr="00AA54CC">
        <w:rPr>
          <w:rFonts w:ascii="VIC-Regular" w:eastAsia="Times New Roman" w:hAnsi="VIC-Regular" w:cs="Times New Roman"/>
          <w:color w:val="011A3C"/>
          <w:sz w:val="24"/>
          <w:szCs w:val="24"/>
          <w:lang w:val="en" w:eastAsia="en-AU"/>
        </w:rPr>
        <w:t xml:space="preserve"> </w:t>
      </w:r>
      <w:r w:rsidRPr="00AA54CC">
        <w:rPr>
          <w:rFonts w:ascii="VIC-Regular" w:eastAsia="Times New Roman" w:hAnsi="VIC-Regular" w:cs="Times New Roman"/>
          <w:color w:val="011A3C"/>
          <w:sz w:val="24"/>
          <w:szCs w:val="24"/>
          <w:lang w:val="en" w:eastAsia="en-AU"/>
        </w:rPr>
        <w:t xml:space="preserve"> A </w:t>
      </w:r>
      <w:r w:rsidR="00B77069" w:rsidRPr="00AA54CC">
        <w:rPr>
          <w:rFonts w:ascii="VIC-Regular" w:eastAsia="Times New Roman" w:hAnsi="VIC-Regular" w:cs="Times New Roman"/>
          <w:color w:val="011A3C"/>
          <w:sz w:val="24"/>
          <w:szCs w:val="24"/>
          <w:lang w:val="en" w:eastAsia="en-AU"/>
        </w:rPr>
        <w:t xml:space="preserve">primary school with 21 prep </w:t>
      </w:r>
      <w:r w:rsidR="0085324B">
        <w:rPr>
          <w:rFonts w:ascii="VIC-Regular" w:eastAsia="Times New Roman" w:hAnsi="VIC-Regular" w:cs="Times New Roman"/>
          <w:color w:val="011A3C"/>
          <w:sz w:val="24"/>
          <w:szCs w:val="24"/>
          <w:lang w:val="en" w:eastAsia="en-AU"/>
        </w:rPr>
        <w:t>to</w:t>
      </w:r>
      <w:r w:rsidR="00B77069" w:rsidRPr="00AA54CC">
        <w:rPr>
          <w:rFonts w:ascii="VIC-Regular" w:eastAsia="Times New Roman" w:hAnsi="VIC-Regular" w:cs="Times New Roman"/>
          <w:color w:val="011A3C"/>
          <w:sz w:val="24"/>
          <w:szCs w:val="24"/>
          <w:lang w:val="en" w:eastAsia="en-AU"/>
        </w:rPr>
        <w:t xml:space="preserve"> </w:t>
      </w:r>
      <w:r w:rsidR="0085324B">
        <w:rPr>
          <w:rFonts w:ascii="VIC-Regular" w:eastAsia="Times New Roman" w:hAnsi="VIC-Regular" w:cs="Times New Roman"/>
          <w:color w:val="011A3C"/>
          <w:sz w:val="24"/>
          <w:szCs w:val="24"/>
          <w:lang w:val="en" w:eastAsia="en-AU"/>
        </w:rPr>
        <w:t>year</w:t>
      </w:r>
      <w:r w:rsidR="00B77069" w:rsidRPr="00AA54CC">
        <w:rPr>
          <w:rFonts w:ascii="VIC-Regular" w:eastAsia="Times New Roman" w:hAnsi="VIC-Regular" w:cs="Times New Roman"/>
          <w:color w:val="011A3C"/>
          <w:sz w:val="24"/>
          <w:szCs w:val="24"/>
          <w:lang w:val="en" w:eastAsia="en-AU"/>
        </w:rPr>
        <w:t xml:space="preserve"> 1 enrolments, 11 </w:t>
      </w:r>
      <w:r w:rsidR="0085324B">
        <w:rPr>
          <w:rFonts w:ascii="VIC-Regular" w:eastAsia="Times New Roman" w:hAnsi="VIC-Regular" w:cs="Times New Roman"/>
          <w:color w:val="011A3C"/>
          <w:sz w:val="24"/>
          <w:szCs w:val="24"/>
          <w:lang w:val="en" w:eastAsia="en-AU"/>
        </w:rPr>
        <w:t xml:space="preserve">year </w:t>
      </w:r>
      <w:r w:rsidR="00B77069" w:rsidRPr="00AA54CC">
        <w:rPr>
          <w:rFonts w:ascii="VIC-Regular" w:eastAsia="Times New Roman" w:hAnsi="VIC-Regular" w:cs="Times New Roman"/>
          <w:color w:val="011A3C"/>
          <w:sz w:val="24"/>
          <w:szCs w:val="24"/>
          <w:lang w:val="en" w:eastAsia="en-AU"/>
        </w:rPr>
        <w:t xml:space="preserve">2 enrolments, 50 </w:t>
      </w:r>
      <w:r w:rsidR="0085324B">
        <w:rPr>
          <w:rFonts w:ascii="VIC-Regular" w:eastAsia="Times New Roman" w:hAnsi="VIC-Regular" w:cs="Times New Roman"/>
          <w:color w:val="011A3C"/>
          <w:sz w:val="24"/>
          <w:szCs w:val="24"/>
          <w:lang w:val="en" w:eastAsia="en-AU"/>
        </w:rPr>
        <w:t xml:space="preserve">year </w:t>
      </w:r>
      <w:r w:rsidR="00B77069" w:rsidRPr="00AA54CC">
        <w:rPr>
          <w:rFonts w:ascii="VIC-Regular" w:eastAsia="Times New Roman" w:hAnsi="VIC-Regular" w:cs="Times New Roman"/>
          <w:color w:val="011A3C"/>
          <w:sz w:val="24"/>
          <w:szCs w:val="24"/>
          <w:lang w:val="en" w:eastAsia="en-AU"/>
        </w:rPr>
        <w:t>3</w:t>
      </w:r>
      <w:r w:rsidR="0085324B">
        <w:rPr>
          <w:rFonts w:ascii="VIC-Regular" w:eastAsia="Times New Roman" w:hAnsi="VIC-Regular" w:cs="Times New Roman"/>
          <w:color w:val="011A3C"/>
          <w:sz w:val="24"/>
          <w:szCs w:val="24"/>
          <w:lang w:val="en" w:eastAsia="en-AU"/>
        </w:rPr>
        <w:t xml:space="preserve"> to </w:t>
      </w:r>
      <w:r w:rsidR="00B77069" w:rsidRPr="00AA54CC">
        <w:rPr>
          <w:rFonts w:ascii="VIC-Regular" w:eastAsia="Times New Roman" w:hAnsi="VIC-Regular" w:cs="Times New Roman"/>
          <w:color w:val="011A3C"/>
          <w:sz w:val="24"/>
          <w:szCs w:val="24"/>
          <w:lang w:val="en" w:eastAsia="en-AU"/>
        </w:rPr>
        <w:t>6 enrolments and a</w:t>
      </w:r>
      <w:r w:rsidR="0085324B">
        <w:rPr>
          <w:rFonts w:ascii="VIC-Regular" w:eastAsia="Times New Roman" w:hAnsi="VIC-Regular" w:cs="Times New Roman"/>
          <w:color w:val="011A3C"/>
          <w:sz w:val="24"/>
          <w:szCs w:val="24"/>
          <w:lang w:val="en" w:eastAsia="en-AU"/>
        </w:rPr>
        <w:t xml:space="preserve"> school</w:t>
      </w:r>
      <w:r w:rsidR="00B77069" w:rsidRPr="00AA54CC">
        <w:rPr>
          <w:rFonts w:ascii="VIC-Regular" w:eastAsia="Times New Roman" w:hAnsi="VIC-Regular" w:cs="Times New Roman"/>
          <w:color w:val="011A3C"/>
          <w:sz w:val="24"/>
          <w:szCs w:val="24"/>
          <w:lang w:val="en" w:eastAsia="en-AU"/>
        </w:rPr>
        <w:t xml:space="preserve"> SFO density of </w:t>
      </w:r>
      <w:r w:rsidR="0085324B">
        <w:rPr>
          <w:rFonts w:ascii="VIC-Regular" w:eastAsia="Times New Roman" w:hAnsi="VIC-Regular" w:cs="Times New Roman"/>
          <w:color w:val="011A3C"/>
          <w:sz w:val="24"/>
          <w:szCs w:val="24"/>
          <w:lang w:val="en" w:eastAsia="en-AU"/>
        </w:rPr>
        <w:t>0</w:t>
      </w:r>
      <w:r w:rsidR="00B77069" w:rsidRPr="00AA54CC">
        <w:rPr>
          <w:rFonts w:ascii="VIC-Regular" w:eastAsia="Times New Roman" w:hAnsi="VIC-Regular" w:cs="Times New Roman"/>
          <w:color w:val="011A3C"/>
          <w:sz w:val="24"/>
          <w:szCs w:val="24"/>
          <w:lang w:val="en" w:eastAsia="en-AU"/>
        </w:rPr>
        <w:t xml:space="preserve">.5543 would </w:t>
      </w:r>
      <w:r w:rsidR="00953A7E" w:rsidRPr="00AA54CC">
        <w:rPr>
          <w:rFonts w:ascii="VIC-Regular" w:eastAsia="Times New Roman" w:hAnsi="VIC-Regular" w:cs="Times New Roman"/>
          <w:color w:val="011A3C"/>
          <w:sz w:val="24"/>
          <w:szCs w:val="24"/>
          <w:lang w:val="en" w:eastAsia="en-AU"/>
        </w:rPr>
        <w:t>calculate</w:t>
      </w:r>
      <w:r w:rsidR="00B77069" w:rsidRPr="00AA54CC">
        <w:rPr>
          <w:rFonts w:ascii="VIC-Regular" w:eastAsia="Times New Roman" w:hAnsi="VIC-Regular" w:cs="Times New Roman"/>
          <w:color w:val="011A3C"/>
          <w:sz w:val="24"/>
          <w:szCs w:val="24"/>
          <w:lang w:val="en" w:eastAsia="en-AU"/>
        </w:rPr>
        <w:t xml:space="preserve"> their funding as follows:</w:t>
      </w:r>
    </w:p>
    <w:p w14:paraId="5B28E033" w14:textId="3BE359D0" w:rsidR="00B77069" w:rsidRPr="00017551" w:rsidRDefault="009D3396" w:rsidP="00B7706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77069">
        <w:rPr>
          <w:b/>
          <w:bCs/>
          <w:lang w:val="en" w:eastAsia="en-AU"/>
        </w:rPr>
        <w:t xml:space="preserve">Part 1 </w:t>
      </w:r>
      <w:r w:rsidR="00B77069" w:rsidRPr="00B77069">
        <w:rPr>
          <w:b/>
          <w:bCs/>
          <w:lang w:val="en" w:eastAsia="en-AU"/>
        </w:rPr>
        <w:t>Student Allocation</w:t>
      </w:r>
      <w:r>
        <w:rPr>
          <w:lang w:val="en" w:eastAsia="en-AU"/>
        </w:rPr>
        <w:t xml:space="preserve"> = </w:t>
      </w:r>
      <w:r w:rsidR="00B77069" w:rsidRPr="00017551">
        <w:rPr>
          <w:rFonts w:ascii="VIC-Regular" w:eastAsia="Times New Roman" w:hAnsi="VIC-Regular" w:cs="Times New Roman"/>
          <w:color w:val="011A3C"/>
          <w:sz w:val="24"/>
          <w:szCs w:val="24"/>
          <w:lang w:val="en" w:eastAsia="en-AU"/>
        </w:rPr>
        <w:t>Base Allocation + (</w:t>
      </w:r>
      <w:r w:rsidR="00B77069">
        <w:rPr>
          <w:rFonts w:ascii="VIC-Regular" w:eastAsia="Times New Roman" w:hAnsi="VIC-Regular" w:cs="Times New Roman"/>
          <w:color w:val="011A3C"/>
          <w:sz w:val="24"/>
          <w:szCs w:val="24"/>
          <w:lang w:val="en" w:eastAsia="en-AU"/>
        </w:rPr>
        <w:t>Prep</w:t>
      </w:r>
      <w:r w:rsidR="0085324B">
        <w:rPr>
          <w:rFonts w:ascii="VIC-Regular" w:eastAsia="Times New Roman" w:hAnsi="VIC-Regular" w:cs="Times New Roman"/>
          <w:color w:val="011A3C"/>
          <w:sz w:val="24"/>
          <w:szCs w:val="24"/>
          <w:lang w:val="en" w:eastAsia="en-AU"/>
        </w:rPr>
        <w:t xml:space="preserve"> to Y</w:t>
      </w:r>
      <w:r w:rsidR="00B77069">
        <w:rPr>
          <w:rFonts w:ascii="VIC-Regular" w:eastAsia="Times New Roman" w:hAnsi="VIC-Regular" w:cs="Times New Roman"/>
          <w:color w:val="011A3C"/>
          <w:sz w:val="24"/>
          <w:szCs w:val="24"/>
          <w:lang w:val="en" w:eastAsia="en-AU"/>
        </w:rPr>
        <w:t>1</w:t>
      </w:r>
      <w:r w:rsidR="00B77069" w:rsidRPr="00017551">
        <w:rPr>
          <w:rFonts w:ascii="VIC-Regular" w:eastAsia="Times New Roman" w:hAnsi="VIC-Regular" w:cs="Times New Roman"/>
          <w:color w:val="011A3C"/>
          <w:sz w:val="24"/>
          <w:szCs w:val="24"/>
          <w:lang w:val="en" w:eastAsia="en-AU"/>
        </w:rPr>
        <w:t xml:space="preserve"> Enrolment</w:t>
      </w:r>
      <w:r w:rsidR="00B77069">
        <w:rPr>
          <w:rFonts w:ascii="VIC-Regular" w:eastAsia="Times New Roman" w:hAnsi="VIC-Regular" w:cs="Times New Roman"/>
          <w:color w:val="011A3C"/>
          <w:sz w:val="24"/>
          <w:szCs w:val="24"/>
          <w:lang w:val="en" w:eastAsia="en-AU"/>
        </w:rPr>
        <w:t xml:space="preserve"> (21)</w:t>
      </w:r>
      <w:r w:rsidR="00B77069" w:rsidRPr="00017551">
        <w:rPr>
          <w:rFonts w:ascii="VIC-Regular" w:eastAsia="Times New Roman" w:hAnsi="VIC-Regular" w:cs="Times New Roman"/>
          <w:color w:val="011A3C"/>
          <w:sz w:val="24"/>
          <w:szCs w:val="24"/>
          <w:lang w:val="en" w:eastAsia="en-AU"/>
        </w:rPr>
        <w:t xml:space="preserve"> x </w:t>
      </w:r>
      <w:r w:rsidR="00B77069">
        <w:rPr>
          <w:rFonts w:ascii="VIC-Regular" w:eastAsia="Times New Roman" w:hAnsi="VIC-Regular" w:cs="Times New Roman"/>
          <w:color w:val="011A3C"/>
          <w:sz w:val="24"/>
          <w:szCs w:val="24"/>
          <w:lang w:val="en" w:eastAsia="en-AU"/>
        </w:rPr>
        <w:t>Prep</w:t>
      </w:r>
      <w:r w:rsidR="0085324B">
        <w:rPr>
          <w:rFonts w:ascii="VIC-Regular" w:eastAsia="Times New Roman" w:hAnsi="VIC-Regular" w:cs="Times New Roman"/>
          <w:color w:val="011A3C"/>
          <w:sz w:val="24"/>
          <w:szCs w:val="24"/>
          <w:lang w:val="en" w:eastAsia="en-AU"/>
        </w:rPr>
        <w:t xml:space="preserve"> t</w:t>
      </w:r>
      <w:r w:rsidR="0061396E">
        <w:rPr>
          <w:rFonts w:ascii="VIC-Regular" w:eastAsia="Times New Roman" w:hAnsi="VIC-Regular" w:cs="Times New Roman"/>
          <w:color w:val="011A3C"/>
          <w:sz w:val="24"/>
          <w:szCs w:val="24"/>
          <w:lang w:val="en" w:eastAsia="en-AU"/>
        </w:rPr>
        <w:t>o Y</w:t>
      </w:r>
      <w:r w:rsidR="00B77069">
        <w:rPr>
          <w:rFonts w:ascii="VIC-Regular" w:eastAsia="Times New Roman" w:hAnsi="VIC-Regular" w:cs="Times New Roman"/>
          <w:color w:val="011A3C"/>
          <w:sz w:val="24"/>
          <w:szCs w:val="24"/>
          <w:lang w:val="en" w:eastAsia="en-AU"/>
        </w:rPr>
        <w:t xml:space="preserve">1 </w:t>
      </w:r>
      <w:r w:rsidR="00B77069" w:rsidRPr="00017551">
        <w:rPr>
          <w:rFonts w:ascii="VIC-Regular" w:eastAsia="Times New Roman" w:hAnsi="VIC-Regular" w:cs="Times New Roman"/>
          <w:color w:val="011A3C"/>
          <w:sz w:val="24"/>
          <w:szCs w:val="24"/>
          <w:lang w:val="en" w:eastAsia="en-AU"/>
        </w:rPr>
        <w:t>weighted Rate)</w:t>
      </w:r>
      <w:r w:rsidR="00B77069" w:rsidRPr="00B77069">
        <w:rPr>
          <w:rFonts w:ascii="VIC-Regular" w:eastAsia="Times New Roman" w:hAnsi="VIC-Regular" w:cs="Times New Roman"/>
          <w:color w:val="011A3C"/>
          <w:sz w:val="24"/>
          <w:szCs w:val="24"/>
          <w:lang w:val="en" w:eastAsia="en-AU"/>
        </w:rPr>
        <w:t xml:space="preserve"> </w:t>
      </w:r>
      <w:r w:rsidR="00B77069" w:rsidRPr="00017551">
        <w:rPr>
          <w:rFonts w:ascii="VIC-Regular" w:eastAsia="Times New Roman" w:hAnsi="VIC-Regular" w:cs="Times New Roman"/>
          <w:color w:val="011A3C"/>
          <w:sz w:val="24"/>
          <w:szCs w:val="24"/>
          <w:lang w:val="en" w:eastAsia="en-AU"/>
        </w:rPr>
        <w:t>+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2</w:t>
      </w:r>
      <w:r w:rsidR="00B77069" w:rsidRPr="00017551">
        <w:rPr>
          <w:rFonts w:ascii="VIC-Regular" w:eastAsia="Times New Roman" w:hAnsi="VIC-Regular" w:cs="Times New Roman"/>
          <w:color w:val="011A3C"/>
          <w:sz w:val="24"/>
          <w:szCs w:val="24"/>
          <w:lang w:val="en" w:eastAsia="en-AU"/>
        </w:rPr>
        <w:t xml:space="preserve"> Enrolment</w:t>
      </w:r>
      <w:r w:rsidR="00B77069">
        <w:rPr>
          <w:rFonts w:ascii="VIC-Regular" w:eastAsia="Times New Roman" w:hAnsi="VIC-Regular" w:cs="Times New Roman"/>
          <w:color w:val="011A3C"/>
          <w:sz w:val="24"/>
          <w:szCs w:val="24"/>
          <w:lang w:val="en" w:eastAsia="en-AU"/>
        </w:rPr>
        <w:t xml:space="preserve"> (11)</w:t>
      </w:r>
      <w:r w:rsidR="00B7706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 xml:space="preserve">2 </w:t>
      </w:r>
      <w:r w:rsidR="00B77069" w:rsidRPr="00017551">
        <w:rPr>
          <w:rFonts w:ascii="VIC-Regular" w:eastAsia="Times New Roman" w:hAnsi="VIC-Regular" w:cs="Times New Roman"/>
          <w:color w:val="011A3C"/>
          <w:sz w:val="24"/>
          <w:szCs w:val="24"/>
          <w:lang w:val="en" w:eastAsia="en-AU"/>
        </w:rPr>
        <w:t>weighted Rate) +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w:t>
      </w:r>
      <w:r w:rsidR="00B77069">
        <w:rPr>
          <w:rFonts w:ascii="VIC-Regular" w:eastAsia="Times New Roman" w:hAnsi="VIC-Regular" w:cs="Times New Roman"/>
          <w:color w:val="011A3C"/>
          <w:sz w:val="24"/>
          <w:szCs w:val="24"/>
          <w:lang w:val="en" w:eastAsia="en-AU"/>
        </w:rPr>
        <w:t>6 Enrolment (50)</w:t>
      </w:r>
      <w:r w:rsidR="00B7706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B7706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 </w:t>
      </w:r>
      <w:r w:rsidR="00B77069">
        <w:rPr>
          <w:rFonts w:ascii="VIC-Regular" w:eastAsia="Times New Roman" w:hAnsi="VIC-Regular" w:cs="Times New Roman"/>
          <w:color w:val="011A3C"/>
          <w:sz w:val="24"/>
          <w:szCs w:val="24"/>
          <w:lang w:val="en" w:eastAsia="en-AU"/>
        </w:rPr>
        <w:t xml:space="preserve">6 </w:t>
      </w:r>
      <w:r w:rsidR="00B77069" w:rsidRPr="00017551">
        <w:rPr>
          <w:rFonts w:ascii="VIC-Regular" w:eastAsia="Times New Roman" w:hAnsi="VIC-Regular" w:cs="Times New Roman"/>
          <w:color w:val="011A3C"/>
          <w:sz w:val="24"/>
          <w:szCs w:val="24"/>
          <w:lang w:val="en" w:eastAsia="en-AU"/>
        </w:rPr>
        <w:t>weighted Rate)</w:t>
      </w:r>
    </w:p>
    <w:p w14:paraId="61CB3D55" w14:textId="60DDAD82" w:rsidR="00AF1F09" w:rsidRPr="00017551" w:rsidRDefault="009D3396" w:rsidP="000D106B">
      <w:pPr>
        <w:rPr>
          <w:rFonts w:ascii="VIC-Regular" w:eastAsia="Times New Roman" w:hAnsi="VIC-Regular" w:cs="Times New Roman"/>
          <w:color w:val="011A3C"/>
          <w:sz w:val="24"/>
          <w:szCs w:val="24"/>
          <w:lang w:val="en" w:eastAsia="en-AU"/>
        </w:rPr>
      </w:pPr>
      <w:r w:rsidRPr="004E099D">
        <w:rPr>
          <w:b/>
          <w:bCs/>
          <w:lang w:val="en" w:eastAsia="en-AU"/>
        </w:rPr>
        <w:lastRenderedPageBreak/>
        <w:t xml:space="preserve">Part </w:t>
      </w:r>
      <w:r w:rsidRPr="00B77069">
        <w:rPr>
          <w:b/>
          <w:bCs/>
          <w:lang w:val="en" w:eastAsia="en-AU"/>
        </w:rPr>
        <w:t xml:space="preserve">2 </w:t>
      </w:r>
      <w:r w:rsidR="00B77069" w:rsidRPr="00B77069">
        <w:rPr>
          <w:b/>
          <w:bCs/>
          <w:lang w:val="en" w:eastAsia="en-AU"/>
        </w:rPr>
        <w:t>SFO Allocation</w:t>
      </w:r>
      <w:r>
        <w:rPr>
          <w:lang w:val="en" w:eastAsia="en-AU"/>
        </w:rPr>
        <w:t xml:space="preserve"> = </w:t>
      </w:r>
      <w:r w:rsidR="00AF1F09" w:rsidRPr="00017551">
        <w:rPr>
          <w:rFonts w:ascii="VIC-Regular" w:eastAsia="Times New Roman" w:hAnsi="VIC-Regular" w:cs="Times New Roman"/>
          <w:color w:val="011A3C"/>
          <w:sz w:val="24"/>
          <w:szCs w:val="24"/>
          <w:lang w:val="en" w:eastAsia="en-AU"/>
        </w:rPr>
        <w:t>(</w:t>
      </w:r>
      <w:r w:rsidR="00AF1F09">
        <w:rPr>
          <w:rFonts w:ascii="VIC-Regular" w:eastAsia="Times New Roman" w:hAnsi="VIC-Regular" w:cs="Times New Roman"/>
          <w:color w:val="011A3C"/>
          <w:sz w:val="24"/>
          <w:szCs w:val="24"/>
          <w:lang w:val="en" w:eastAsia="en-AU"/>
        </w:rPr>
        <w:t>Prep</w:t>
      </w:r>
      <w:r w:rsidR="0061396E">
        <w:rPr>
          <w:rFonts w:ascii="VIC-Regular" w:eastAsia="Times New Roman" w:hAnsi="VIC-Regular" w:cs="Times New Roman"/>
          <w:color w:val="011A3C"/>
          <w:sz w:val="24"/>
          <w:szCs w:val="24"/>
          <w:lang w:val="en" w:eastAsia="en-AU"/>
        </w:rPr>
        <w:t xml:space="preserve"> to Y</w:t>
      </w:r>
      <w:r w:rsidR="00AF1F09">
        <w:rPr>
          <w:rFonts w:ascii="VIC-Regular" w:eastAsia="Times New Roman" w:hAnsi="VIC-Regular" w:cs="Times New Roman"/>
          <w:color w:val="011A3C"/>
          <w:sz w:val="24"/>
          <w:szCs w:val="24"/>
          <w:lang w:val="en" w:eastAsia="en-AU"/>
        </w:rPr>
        <w:t>1</w:t>
      </w:r>
      <w:r w:rsidR="00AF1F09" w:rsidRPr="00017551">
        <w:rPr>
          <w:rFonts w:ascii="VIC-Regular" w:eastAsia="Times New Roman" w:hAnsi="VIC-Regular" w:cs="Times New Roman"/>
          <w:color w:val="011A3C"/>
          <w:sz w:val="24"/>
          <w:szCs w:val="24"/>
          <w:lang w:val="en" w:eastAsia="en-AU"/>
        </w:rPr>
        <w:t xml:space="preserve"> Enrolment</w:t>
      </w:r>
      <w:r w:rsidR="00AF1F09">
        <w:rPr>
          <w:rFonts w:ascii="VIC-Regular" w:eastAsia="Times New Roman" w:hAnsi="VIC-Regular" w:cs="Times New Roman"/>
          <w:color w:val="011A3C"/>
          <w:sz w:val="24"/>
          <w:szCs w:val="24"/>
          <w:lang w:val="en" w:eastAsia="en-AU"/>
        </w:rPr>
        <w:t xml:space="preserve"> (21)</w:t>
      </w:r>
      <w:r w:rsidR="00AF1F09" w:rsidRPr="00017551">
        <w:rPr>
          <w:rFonts w:ascii="VIC-Regular" w:eastAsia="Times New Roman" w:hAnsi="VIC-Regular" w:cs="Times New Roman"/>
          <w:color w:val="011A3C"/>
          <w:sz w:val="24"/>
          <w:szCs w:val="24"/>
          <w:lang w:val="en" w:eastAsia="en-AU"/>
        </w:rPr>
        <w:t xml:space="preserve"> x </w:t>
      </w:r>
      <w:r w:rsidR="00AF1F09">
        <w:rPr>
          <w:rFonts w:ascii="VIC-Regular" w:eastAsia="Times New Roman" w:hAnsi="VIC-Regular" w:cs="Times New Roman"/>
          <w:color w:val="011A3C"/>
          <w:sz w:val="24"/>
          <w:szCs w:val="24"/>
          <w:lang w:val="en" w:eastAsia="en-AU"/>
        </w:rPr>
        <w:t>Prep</w:t>
      </w:r>
      <w:r w:rsidR="00337C31">
        <w:rPr>
          <w:rFonts w:ascii="VIC-Regular" w:eastAsia="Times New Roman" w:hAnsi="VIC-Regular" w:cs="Times New Roman"/>
          <w:color w:val="011A3C"/>
          <w:sz w:val="24"/>
          <w:szCs w:val="24"/>
          <w:lang w:val="en" w:eastAsia="en-AU"/>
        </w:rPr>
        <w:t xml:space="preserve"> </w:t>
      </w:r>
      <w:r w:rsidR="0061396E">
        <w:rPr>
          <w:rFonts w:ascii="VIC-Regular" w:eastAsia="Times New Roman" w:hAnsi="VIC-Regular" w:cs="Times New Roman"/>
          <w:color w:val="011A3C"/>
          <w:sz w:val="24"/>
          <w:szCs w:val="24"/>
          <w:lang w:val="en" w:eastAsia="en-AU"/>
        </w:rPr>
        <w:t>to Y</w:t>
      </w:r>
      <w:r w:rsidR="00AF1F09">
        <w:rPr>
          <w:rFonts w:ascii="VIC-Regular" w:eastAsia="Times New Roman" w:hAnsi="VIC-Regular" w:cs="Times New Roman"/>
          <w:color w:val="011A3C"/>
          <w:sz w:val="24"/>
          <w:szCs w:val="24"/>
          <w:lang w:val="en" w:eastAsia="en-AU"/>
        </w:rPr>
        <w:t xml:space="preserve">1 SFO </w:t>
      </w:r>
      <w:r w:rsidR="00AF1F09" w:rsidRPr="00017551">
        <w:rPr>
          <w:rFonts w:ascii="VIC-Regular" w:eastAsia="Times New Roman" w:hAnsi="VIC-Regular" w:cs="Times New Roman"/>
          <w:color w:val="011A3C"/>
          <w:sz w:val="24"/>
          <w:szCs w:val="24"/>
          <w:lang w:val="en" w:eastAsia="en-AU"/>
        </w:rPr>
        <w:t>weighted Rate)</w:t>
      </w:r>
      <w:r w:rsidR="00AF1F09" w:rsidRPr="00B77069">
        <w:rPr>
          <w:rFonts w:ascii="VIC-Regular" w:eastAsia="Times New Roman" w:hAnsi="VIC-Regular" w:cs="Times New Roman"/>
          <w:color w:val="011A3C"/>
          <w:sz w:val="24"/>
          <w:szCs w:val="24"/>
          <w:lang w:val="en" w:eastAsia="en-AU"/>
        </w:rPr>
        <w:t xml:space="preserve"> </w:t>
      </w:r>
      <w:r w:rsidR="00AF1F09" w:rsidRPr="00017551">
        <w:rPr>
          <w:rFonts w:ascii="VIC-Regular" w:eastAsia="Times New Roman" w:hAnsi="VIC-Regular" w:cs="Times New Roman"/>
          <w:color w:val="011A3C"/>
          <w:sz w:val="24"/>
          <w:szCs w:val="24"/>
          <w:lang w:val="en" w:eastAsia="en-AU"/>
        </w:rPr>
        <w:t>+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2</w:t>
      </w:r>
      <w:r w:rsidR="00AF1F09" w:rsidRPr="00017551">
        <w:rPr>
          <w:rFonts w:ascii="VIC-Regular" w:eastAsia="Times New Roman" w:hAnsi="VIC-Regular" w:cs="Times New Roman"/>
          <w:color w:val="011A3C"/>
          <w:sz w:val="24"/>
          <w:szCs w:val="24"/>
          <w:lang w:val="en" w:eastAsia="en-AU"/>
        </w:rPr>
        <w:t xml:space="preserve"> Enrolment</w:t>
      </w:r>
      <w:r w:rsidR="00AF1F09">
        <w:rPr>
          <w:rFonts w:ascii="VIC-Regular" w:eastAsia="Times New Roman" w:hAnsi="VIC-Regular" w:cs="Times New Roman"/>
          <w:color w:val="011A3C"/>
          <w:sz w:val="24"/>
          <w:szCs w:val="24"/>
          <w:lang w:val="en" w:eastAsia="en-AU"/>
        </w:rPr>
        <w:t xml:space="preserve"> (11)</w:t>
      </w:r>
      <w:r w:rsidR="00AF1F0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 xml:space="preserve">2 SFO </w:t>
      </w:r>
      <w:r w:rsidR="00AF1F09" w:rsidRPr="00017551">
        <w:rPr>
          <w:rFonts w:ascii="VIC-Regular" w:eastAsia="Times New Roman" w:hAnsi="VIC-Regular" w:cs="Times New Roman"/>
          <w:color w:val="011A3C"/>
          <w:sz w:val="24"/>
          <w:szCs w:val="24"/>
          <w:lang w:val="en" w:eastAsia="en-AU"/>
        </w:rPr>
        <w:t>weighted Rate) +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 </w:t>
      </w:r>
      <w:r w:rsidR="00AF1F09">
        <w:rPr>
          <w:rFonts w:ascii="VIC-Regular" w:eastAsia="Times New Roman" w:hAnsi="VIC-Regular" w:cs="Times New Roman"/>
          <w:color w:val="011A3C"/>
          <w:sz w:val="24"/>
          <w:szCs w:val="24"/>
          <w:lang w:val="en" w:eastAsia="en-AU"/>
        </w:rPr>
        <w:t>6 Enrolment (50)</w:t>
      </w:r>
      <w:r w:rsidR="00AF1F09" w:rsidRPr="00017551">
        <w:rPr>
          <w:rFonts w:ascii="VIC-Regular" w:eastAsia="Times New Roman" w:hAnsi="VIC-Regular" w:cs="Times New Roman"/>
          <w:color w:val="011A3C"/>
          <w:sz w:val="24"/>
          <w:szCs w:val="24"/>
          <w:lang w:val="en" w:eastAsia="en-AU"/>
        </w:rPr>
        <w:t xml:space="preserve"> x </w:t>
      </w:r>
      <w:r w:rsidR="0061396E">
        <w:rPr>
          <w:rFonts w:ascii="VIC-Regular" w:eastAsia="Times New Roman" w:hAnsi="VIC-Regular" w:cs="Times New Roman"/>
          <w:color w:val="011A3C"/>
          <w:sz w:val="24"/>
          <w:szCs w:val="24"/>
          <w:lang w:val="en" w:eastAsia="en-AU"/>
        </w:rPr>
        <w:t xml:space="preserve">Year </w:t>
      </w:r>
      <w:r w:rsidR="00AF1F09">
        <w:rPr>
          <w:rFonts w:ascii="VIC-Regular" w:eastAsia="Times New Roman" w:hAnsi="VIC-Regular" w:cs="Times New Roman"/>
          <w:color w:val="011A3C"/>
          <w:sz w:val="24"/>
          <w:szCs w:val="24"/>
          <w:lang w:val="en" w:eastAsia="en-AU"/>
        </w:rPr>
        <w:t>3</w:t>
      </w:r>
      <w:r w:rsidR="0061396E">
        <w:rPr>
          <w:rFonts w:ascii="VIC-Regular" w:eastAsia="Times New Roman" w:hAnsi="VIC-Regular" w:cs="Times New Roman"/>
          <w:color w:val="011A3C"/>
          <w:sz w:val="24"/>
          <w:szCs w:val="24"/>
          <w:lang w:val="en" w:eastAsia="en-AU"/>
        </w:rPr>
        <w:t xml:space="preserve"> to </w:t>
      </w:r>
      <w:r w:rsidR="00AF1F09">
        <w:rPr>
          <w:rFonts w:ascii="VIC-Regular" w:eastAsia="Times New Roman" w:hAnsi="VIC-Regular" w:cs="Times New Roman"/>
          <w:color w:val="011A3C"/>
          <w:sz w:val="24"/>
          <w:szCs w:val="24"/>
          <w:lang w:val="en" w:eastAsia="en-AU"/>
        </w:rPr>
        <w:t xml:space="preserve">6 SFO </w:t>
      </w:r>
      <w:r w:rsidR="00AF1F09" w:rsidRPr="00017551">
        <w:rPr>
          <w:rFonts w:ascii="VIC-Regular" w:eastAsia="Times New Roman" w:hAnsi="VIC-Regular" w:cs="Times New Roman"/>
          <w:color w:val="011A3C"/>
          <w:sz w:val="24"/>
          <w:szCs w:val="24"/>
          <w:lang w:val="en" w:eastAsia="en-AU"/>
        </w:rPr>
        <w:t>weighted Rate)</w:t>
      </w:r>
      <w:r w:rsidR="00953A7E">
        <w:rPr>
          <w:rFonts w:ascii="VIC-Regular" w:eastAsia="Times New Roman" w:hAnsi="VIC-Regular" w:cs="Times New Roman"/>
          <w:color w:val="011A3C"/>
          <w:sz w:val="24"/>
          <w:szCs w:val="24"/>
          <w:lang w:val="en" w:eastAsia="en-AU"/>
        </w:rPr>
        <w:t xml:space="preserve"> x</w:t>
      </w:r>
      <w:r w:rsidR="00AF1F09">
        <w:rPr>
          <w:rFonts w:ascii="VIC-Regular" w:eastAsia="Times New Roman" w:hAnsi="VIC-Regular" w:cs="Times New Roman"/>
          <w:color w:val="011A3C"/>
          <w:sz w:val="24"/>
          <w:szCs w:val="24"/>
          <w:lang w:val="en" w:eastAsia="en-AU"/>
        </w:rPr>
        <w:t xml:space="preserve"> </w:t>
      </w:r>
      <w:r w:rsidR="00AF1F09" w:rsidRPr="00017551">
        <w:rPr>
          <w:rFonts w:ascii="VIC-Regular" w:eastAsia="Times New Roman" w:hAnsi="VIC-Regular" w:cs="Times New Roman"/>
          <w:color w:val="011A3C"/>
          <w:sz w:val="24"/>
          <w:szCs w:val="24"/>
          <w:lang w:val="en" w:eastAsia="en-AU"/>
        </w:rPr>
        <w:t>(School SFO Index</w:t>
      </w:r>
      <w:r w:rsidR="00AF1F09">
        <w:rPr>
          <w:rFonts w:ascii="VIC-Regular" w:eastAsia="Times New Roman" w:hAnsi="VIC-Regular" w:cs="Times New Roman"/>
          <w:color w:val="011A3C"/>
          <w:sz w:val="24"/>
          <w:szCs w:val="24"/>
          <w:lang w:val="en" w:eastAsia="en-AU"/>
        </w:rPr>
        <w:t xml:space="preserve"> (</w:t>
      </w:r>
      <w:r w:rsidR="00953A7E">
        <w:rPr>
          <w:rFonts w:ascii="VIC-Regular" w:eastAsia="Times New Roman" w:hAnsi="VIC-Regular" w:cs="Times New Roman"/>
          <w:color w:val="011A3C"/>
          <w:sz w:val="24"/>
          <w:szCs w:val="24"/>
          <w:lang w:val="en" w:eastAsia="en-AU"/>
        </w:rPr>
        <w:t>0</w:t>
      </w:r>
      <w:r w:rsidR="00AF1F09">
        <w:rPr>
          <w:rFonts w:ascii="VIC-Regular" w:eastAsia="Times New Roman" w:hAnsi="VIC-Regular" w:cs="Times New Roman"/>
          <w:color w:val="011A3C"/>
          <w:sz w:val="24"/>
          <w:szCs w:val="24"/>
          <w:lang w:val="en" w:eastAsia="en-AU"/>
        </w:rPr>
        <w:t>.5543)</w:t>
      </w:r>
      <w:r w:rsidR="00AF1F09" w:rsidRPr="00017551">
        <w:rPr>
          <w:rFonts w:ascii="VIC-Regular" w:eastAsia="Times New Roman" w:hAnsi="VIC-Regular" w:cs="Times New Roman"/>
          <w:color w:val="011A3C"/>
          <w:sz w:val="24"/>
          <w:szCs w:val="24"/>
          <w:lang w:val="en" w:eastAsia="en-AU"/>
        </w:rPr>
        <w:t xml:space="preserve"> – SFO </w:t>
      </w:r>
      <w:r w:rsidR="0061396E">
        <w:rPr>
          <w:rFonts w:ascii="VIC-Regular" w:eastAsia="Times New Roman" w:hAnsi="VIC-Regular" w:cs="Times New Roman"/>
          <w:color w:val="011A3C"/>
          <w:sz w:val="24"/>
          <w:szCs w:val="24"/>
          <w:lang w:val="en" w:eastAsia="en-AU"/>
        </w:rPr>
        <w:t xml:space="preserve">density </w:t>
      </w:r>
      <w:r w:rsidR="00AF1F09" w:rsidRPr="00017551">
        <w:rPr>
          <w:rFonts w:ascii="VIC-Regular" w:eastAsia="Times New Roman" w:hAnsi="VIC-Regular" w:cs="Times New Roman"/>
          <w:color w:val="011A3C"/>
          <w:sz w:val="24"/>
          <w:szCs w:val="24"/>
          <w:lang w:val="en" w:eastAsia="en-AU"/>
        </w:rPr>
        <w:t>threshold)</w:t>
      </w:r>
    </w:p>
    <w:p w14:paraId="6CCB0661" w14:textId="33563C14" w:rsidR="00B77069" w:rsidRPr="00017551" w:rsidRDefault="00AF1F09"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b/>
          <w:bCs/>
          <w:color w:val="011A3C"/>
          <w:sz w:val="24"/>
          <w:szCs w:val="24"/>
          <w:lang w:val="en" w:eastAsia="en-AU"/>
        </w:rPr>
        <w:t>T</w:t>
      </w:r>
      <w:r w:rsidR="00B77069" w:rsidRPr="00017551">
        <w:rPr>
          <w:rFonts w:ascii="VIC-Regular" w:eastAsia="Times New Roman" w:hAnsi="VIC-Regular" w:cs="Times New Roman"/>
          <w:b/>
          <w:bCs/>
          <w:color w:val="011A3C"/>
          <w:sz w:val="24"/>
          <w:szCs w:val="24"/>
          <w:lang w:val="en" w:eastAsia="en-AU"/>
        </w:rPr>
        <w:t>otal Allocation</w:t>
      </w:r>
      <w:r w:rsidR="00B77069" w:rsidRPr="00017551">
        <w:rPr>
          <w:rFonts w:ascii="VIC-Regular" w:eastAsia="Times New Roman" w:hAnsi="VIC-Regular" w:cs="Times New Roman"/>
          <w:color w:val="011A3C"/>
          <w:sz w:val="24"/>
          <w:szCs w:val="24"/>
          <w:lang w:val="en" w:eastAsia="en-AU"/>
        </w:rPr>
        <w:t xml:space="preserve"> = Student allocation</w:t>
      </w:r>
      <w:r w:rsidR="0061396E">
        <w:rPr>
          <w:rFonts w:ascii="VIC-Regular" w:eastAsia="Times New Roman" w:hAnsi="VIC-Regular" w:cs="Times New Roman"/>
          <w:color w:val="011A3C"/>
          <w:sz w:val="24"/>
          <w:szCs w:val="24"/>
          <w:lang w:val="en" w:eastAsia="en-AU"/>
        </w:rPr>
        <w:t xml:space="preserve"> (part 1)</w:t>
      </w:r>
      <w:r w:rsidR="00B77069" w:rsidRPr="00017551">
        <w:rPr>
          <w:rFonts w:ascii="VIC-Regular" w:eastAsia="Times New Roman" w:hAnsi="VIC-Regular" w:cs="Times New Roman"/>
          <w:color w:val="011A3C"/>
          <w:sz w:val="24"/>
          <w:szCs w:val="24"/>
          <w:lang w:val="en" w:eastAsia="en-AU"/>
        </w:rPr>
        <w:t xml:space="preserve"> + SFO Allocation</w:t>
      </w:r>
      <w:r w:rsidR="0061396E">
        <w:rPr>
          <w:rFonts w:ascii="VIC-Regular" w:eastAsia="Times New Roman" w:hAnsi="VIC-Regular" w:cs="Times New Roman"/>
          <w:color w:val="011A3C"/>
          <w:sz w:val="24"/>
          <w:szCs w:val="24"/>
          <w:lang w:val="en" w:eastAsia="en-AU"/>
        </w:rPr>
        <w:t xml:space="preserve"> (part 2) a</w:t>
      </w:r>
      <w:r w:rsidR="00557615">
        <w:rPr>
          <w:rFonts w:ascii="VIC-Regular" w:eastAsia="Times New Roman" w:hAnsi="VIC-Regular" w:cs="Times New Roman"/>
          <w:color w:val="011A3C"/>
          <w:sz w:val="24"/>
          <w:szCs w:val="24"/>
          <w:lang w:val="en" w:eastAsia="en-AU"/>
        </w:rPr>
        <w:t xml:space="preserve"> minimum allocation </w:t>
      </w:r>
      <w:r w:rsidR="0061396E">
        <w:rPr>
          <w:rFonts w:ascii="VIC-Regular" w:eastAsia="Times New Roman" w:hAnsi="VIC-Regular" w:cs="Times New Roman"/>
          <w:color w:val="011A3C"/>
          <w:sz w:val="24"/>
          <w:szCs w:val="24"/>
          <w:lang w:val="en" w:eastAsia="en-AU"/>
        </w:rPr>
        <w:t xml:space="preserve">is </w:t>
      </w:r>
      <w:r w:rsidR="00337C31">
        <w:rPr>
          <w:rFonts w:ascii="VIC-Regular" w:eastAsia="Times New Roman" w:hAnsi="VIC-Regular" w:cs="Times New Roman"/>
          <w:color w:val="011A3C"/>
          <w:sz w:val="24"/>
          <w:szCs w:val="24"/>
          <w:lang w:val="en" w:eastAsia="en-AU"/>
        </w:rPr>
        <w:t>provided if</w:t>
      </w:r>
      <w:r w:rsidR="0061396E">
        <w:rPr>
          <w:rFonts w:ascii="VIC-Regular" w:eastAsia="Times New Roman" w:hAnsi="VIC-Regular" w:cs="Times New Roman"/>
          <w:color w:val="011A3C"/>
          <w:sz w:val="24"/>
          <w:szCs w:val="24"/>
          <w:lang w:val="en" w:eastAsia="en-AU"/>
        </w:rPr>
        <w:t xml:space="preserve"> parts 1 and 2 do not generate the minimum funding of $5,000.</w:t>
      </w:r>
    </w:p>
    <w:p w14:paraId="2F0A1759" w14:textId="7FF1C8A4"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1"/>
        <w:gridCol w:w="1247"/>
        <w:gridCol w:w="2771"/>
        <w:gridCol w:w="2897"/>
      </w:tblGrid>
      <w:tr w:rsidR="00017551" w:rsidRPr="00017551" w14:paraId="6C86C548" w14:textId="77777777" w:rsidTr="00124D27">
        <w:trPr>
          <w:tblHeader/>
        </w:trPr>
        <w:tc>
          <w:tcPr>
            <w:tcW w:w="0" w:type="auto"/>
            <w:hideMark/>
          </w:tcPr>
          <w:p w14:paraId="312E7E6F" w14:textId="77777777" w:rsidR="00017551" w:rsidRPr="00371B75"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Student Rates</w:t>
            </w:r>
          </w:p>
        </w:tc>
        <w:tc>
          <w:tcPr>
            <w:tcW w:w="0" w:type="auto"/>
            <w:hideMark/>
          </w:tcPr>
          <w:p w14:paraId="5FB53EA4" w14:textId="77777777" w:rsidR="00017551" w:rsidRPr="00371B75"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Weighting</w:t>
            </w:r>
          </w:p>
        </w:tc>
        <w:tc>
          <w:tcPr>
            <w:tcW w:w="0" w:type="auto"/>
            <w:hideMark/>
          </w:tcPr>
          <w:p w14:paraId="4730FD02"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Weighted per student rate ($)</w:t>
            </w:r>
          </w:p>
          <w:p w14:paraId="3D6710FD"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(Part 1)</w:t>
            </w:r>
          </w:p>
        </w:tc>
        <w:tc>
          <w:tcPr>
            <w:tcW w:w="0" w:type="auto"/>
            <w:hideMark/>
          </w:tcPr>
          <w:p w14:paraId="36039CE4"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Weighted SFO student rate ($)</w:t>
            </w:r>
          </w:p>
          <w:p w14:paraId="43A6AEA5" w14:textId="77777777" w:rsidR="00017551" w:rsidRPr="00371B75"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(Part 2, if applicable)</w:t>
            </w:r>
          </w:p>
        </w:tc>
      </w:tr>
      <w:tr w:rsidR="00017551" w:rsidRPr="00017551" w14:paraId="4EE4952E" w14:textId="77777777" w:rsidTr="00124D27">
        <w:tc>
          <w:tcPr>
            <w:tcW w:w="0" w:type="auto"/>
            <w:hideMark/>
          </w:tcPr>
          <w:p w14:paraId="094B5717"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Prep-1</w:t>
            </w:r>
          </w:p>
        </w:tc>
        <w:tc>
          <w:tcPr>
            <w:tcW w:w="0" w:type="auto"/>
            <w:hideMark/>
          </w:tcPr>
          <w:p w14:paraId="2A58D19E"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1.1750</w:t>
            </w:r>
          </w:p>
        </w:tc>
        <w:tc>
          <w:tcPr>
            <w:tcW w:w="0" w:type="auto"/>
            <w:hideMark/>
          </w:tcPr>
          <w:p w14:paraId="2C6E6015" w14:textId="79AB44FE"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41.09</w:t>
            </w:r>
          </w:p>
        </w:tc>
        <w:tc>
          <w:tcPr>
            <w:tcW w:w="0" w:type="auto"/>
            <w:hideMark/>
          </w:tcPr>
          <w:p w14:paraId="2168DC9F" w14:textId="3A82C992"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784.39</w:t>
            </w:r>
          </w:p>
        </w:tc>
      </w:tr>
      <w:tr w:rsidR="00017551" w:rsidRPr="00017551" w14:paraId="18E5D519" w14:textId="77777777" w:rsidTr="00124D27">
        <w:tc>
          <w:tcPr>
            <w:tcW w:w="0" w:type="auto"/>
            <w:hideMark/>
          </w:tcPr>
          <w:p w14:paraId="323BE240"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2</w:t>
            </w:r>
          </w:p>
        </w:tc>
        <w:tc>
          <w:tcPr>
            <w:tcW w:w="0" w:type="auto"/>
            <w:hideMark/>
          </w:tcPr>
          <w:p w14:paraId="3E63713D"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1.0910</w:t>
            </w:r>
          </w:p>
        </w:tc>
        <w:tc>
          <w:tcPr>
            <w:tcW w:w="0" w:type="auto"/>
            <w:hideMark/>
          </w:tcPr>
          <w:p w14:paraId="07FC0FA6" w14:textId="467BC546"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38.15</w:t>
            </w:r>
          </w:p>
        </w:tc>
        <w:tc>
          <w:tcPr>
            <w:tcW w:w="0" w:type="auto"/>
            <w:hideMark/>
          </w:tcPr>
          <w:p w14:paraId="6BF108A7" w14:textId="154BE31A"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728.32</w:t>
            </w:r>
          </w:p>
        </w:tc>
      </w:tr>
      <w:tr w:rsidR="00017551" w:rsidRPr="00017551" w14:paraId="7D6ECD01" w14:textId="77777777" w:rsidTr="00124D27">
        <w:tc>
          <w:tcPr>
            <w:tcW w:w="0" w:type="auto"/>
            <w:hideMark/>
          </w:tcPr>
          <w:p w14:paraId="442CDF3F"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Years 3-6 (Base rates)</w:t>
            </w:r>
          </w:p>
        </w:tc>
        <w:tc>
          <w:tcPr>
            <w:tcW w:w="0" w:type="auto"/>
            <w:hideMark/>
          </w:tcPr>
          <w:p w14:paraId="087D5273"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1.0000</w:t>
            </w:r>
          </w:p>
        </w:tc>
        <w:tc>
          <w:tcPr>
            <w:tcW w:w="0" w:type="auto"/>
            <w:hideMark/>
          </w:tcPr>
          <w:p w14:paraId="4AD0C218" w14:textId="1B5419AA"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34.97</w:t>
            </w:r>
          </w:p>
        </w:tc>
        <w:tc>
          <w:tcPr>
            <w:tcW w:w="0" w:type="auto"/>
            <w:hideMark/>
          </w:tcPr>
          <w:p w14:paraId="45B2F506" w14:textId="04695199"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667.57</w:t>
            </w:r>
          </w:p>
        </w:tc>
      </w:tr>
      <w:tr w:rsidR="00017551" w:rsidRPr="00017551" w14:paraId="0F8CC413" w14:textId="77777777" w:rsidTr="00124D27">
        <w:tc>
          <w:tcPr>
            <w:tcW w:w="0" w:type="auto"/>
            <w:hideMark/>
          </w:tcPr>
          <w:p w14:paraId="1EBB99CC" w14:textId="77777777" w:rsidR="00017551" w:rsidRPr="00371B75"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Years 7-9</w:t>
            </w:r>
          </w:p>
        </w:tc>
        <w:tc>
          <w:tcPr>
            <w:tcW w:w="0" w:type="auto"/>
            <w:hideMark/>
          </w:tcPr>
          <w:p w14:paraId="1E07F975" w14:textId="77777777" w:rsidR="00017551" w:rsidRPr="00371B75"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1.3051</w:t>
            </w:r>
          </w:p>
        </w:tc>
        <w:tc>
          <w:tcPr>
            <w:tcW w:w="0" w:type="auto"/>
            <w:hideMark/>
          </w:tcPr>
          <w:p w14:paraId="32F9C8E2" w14:textId="576C0EF5"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45.64</w:t>
            </w:r>
          </w:p>
        </w:tc>
        <w:tc>
          <w:tcPr>
            <w:tcW w:w="0" w:type="auto"/>
            <w:hideMark/>
          </w:tcPr>
          <w:p w14:paraId="339C559A" w14:textId="6786A591" w:rsidR="00017551" w:rsidRPr="00371B75"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871.25</w:t>
            </w:r>
          </w:p>
        </w:tc>
      </w:tr>
    </w:tbl>
    <w:p w14:paraId="264AB930" w14:textId="77777777" w:rsidR="00017551" w:rsidRPr="00017551" w:rsidRDefault="00017551" w:rsidP="00AA54CC">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SFO Threshold 0.4606</w:t>
      </w:r>
    </w:p>
    <w:p w14:paraId="1BAF2754" w14:textId="2D1AC2C7" w:rsidR="00017551" w:rsidRPr="00017551" w:rsidRDefault="00017551" w:rsidP="00AA54CC">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Guaranteed Minimum $5</w:t>
      </w:r>
      <w:r w:rsidR="00B473C1">
        <w:rPr>
          <w:rFonts w:ascii="VIC-Regular" w:eastAsia="Times New Roman" w:hAnsi="VIC-Regular" w:cs="Times New Roman"/>
          <w:color w:val="011A3C"/>
          <w:sz w:val="24"/>
          <w:szCs w:val="24"/>
          <w:lang w:val="en" w:eastAsia="en-AU"/>
        </w:rPr>
        <w:t>,</w:t>
      </w:r>
      <w:r w:rsidRPr="00017551">
        <w:rPr>
          <w:rFonts w:ascii="VIC-Regular" w:eastAsia="Times New Roman" w:hAnsi="VIC-Regular" w:cs="Times New Roman"/>
          <w:color w:val="011A3C"/>
          <w:sz w:val="24"/>
          <w:szCs w:val="24"/>
          <w:lang w:val="en" w:eastAsia="en-AU"/>
        </w:rPr>
        <w:t>000</w:t>
      </w:r>
    </w:p>
    <w:p w14:paraId="29848088" w14:textId="76AF2574" w:rsidR="00017551" w:rsidRPr="00017551" w:rsidRDefault="00017551" w:rsidP="00AA54CC">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Base Allocation $3</w:t>
      </w:r>
      <w:r w:rsidR="00B473C1">
        <w:rPr>
          <w:rFonts w:ascii="VIC-Regular" w:eastAsia="Times New Roman" w:hAnsi="VIC-Regular" w:cs="Times New Roman"/>
          <w:color w:val="011A3C"/>
          <w:sz w:val="24"/>
          <w:szCs w:val="24"/>
          <w:lang w:val="en" w:eastAsia="en-AU"/>
        </w:rPr>
        <w:t>,</w:t>
      </w:r>
      <w:r w:rsidRPr="00017551">
        <w:rPr>
          <w:rFonts w:ascii="VIC-Regular" w:eastAsia="Times New Roman" w:hAnsi="VIC-Regular" w:cs="Times New Roman"/>
          <w:color w:val="011A3C"/>
          <w:sz w:val="24"/>
          <w:szCs w:val="24"/>
          <w:lang w:val="en" w:eastAsia="en-AU"/>
        </w:rPr>
        <w:t>000</w:t>
      </w:r>
    </w:p>
    <w:p w14:paraId="7DF222FB" w14:textId="7A8E7CFC" w:rsidR="00F7405B" w:rsidRDefault="00F7405B" w:rsidP="00E75C41">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11C5C54B" w14:textId="5613A615" w:rsidR="009B668A" w:rsidRPr="009B668A" w:rsidRDefault="00C95606" w:rsidP="00842992">
      <w:pPr>
        <w:pStyle w:val="Heading2"/>
      </w:pPr>
      <w:bookmarkStart w:id="15" w:name="_Toc52796176"/>
      <w:r>
        <w:lastRenderedPageBreak/>
        <w:t>M</w:t>
      </w:r>
      <w:r w:rsidR="009B668A" w:rsidRPr="009B668A">
        <w:t>ental Health</w:t>
      </w:r>
      <w:r w:rsidR="00AA54CC">
        <w:t xml:space="preserve"> Practioners</w:t>
      </w:r>
      <w:r w:rsidR="009B668A" w:rsidRPr="009B668A">
        <w:t xml:space="preserve"> (Reference 119)</w:t>
      </w:r>
      <w:bookmarkEnd w:id="15"/>
    </w:p>
    <w:p w14:paraId="6B2E7CB3"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The Mental Health Practitioners (MHP) initiative will provide funding to government school campuses with secondary enrolments to employ a mental health practitioner (mental health nurse, occupational therapist, psychologist or social worker) for between one and five days a week.</w:t>
      </w:r>
    </w:p>
    <w:p w14:paraId="7172D08B"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Mental health practitioners will provide direct counselling support to students and other early intervention and whole-school health promotion activities, as well as coordinating support for students with complex needs.</w:t>
      </w:r>
    </w:p>
    <w:p w14:paraId="5CB74587"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SRP funding will be provided to cover the salary of an ongoing school-based mental health practitioner. Participating schools will receive between a minimum of 0.2 FTE and a maximum of 1.0 FTE, depending on their secondary student enrolments.</w:t>
      </w:r>
    </w:p>
    <w:p w14:paraId="7DF32E92" w14:textId="49BE82F2"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The first year of a school’s funding allocation will be adjusted depending on what term the school first participates in the MHP initiative (see Term Allocation Adjustment table, below). For example, a school entering the MHP initiative in Term 3will receive 50% of their annual allocated funding for the  year.</w:t>
      </w:r>
    </w:p>
    <w:p w14:paraId="754E91C5"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FTE allocations will be fixed from the time of entry into the MHP initiative until the rollout period is complete. After the rollout period ends, FTE allocations will be reviewed and adjustments may be made. The first rollout period concludes in 2022.</w:t>
      </w:r>
    </w:p>
    <w:p w14:paraId="623B20C9" w14:textId="77777777"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2C79778C" w14:textId="77777777" w:rsidR="00BC3588" w:rsidRDefault="009B668A" w:rsidP="009B668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 xml:space="preserve">Funding will be progressively rolled out to </w:t>
      </w:r>
      <w:r w:rsidR="004E1F6F">
        <w:rPr>
          <w:rFonts w:ascii="VIC-Regular" w:eastAsia="Times New Roman" w:hAnsi="VIC-Regular" w:cs="Times New Roman"/>
          <w:color w:val="011A3C"/>
          <w:sz w:val="24"/>
          <w:szCs w:val="24"/>
          <w:lang w:val="en" w:eastAsia="en-AU"/>
        </w:rPr>
        <w:t xml:space="preserve">Secondary and Primary / Secondary Combined </w:t>
      </w:r>
      <w:r w:rsidRPr="009B668A">
        <w:rPr>
          <w:rFonts w:ascii="VIC-Regular" w:eastAsia="Times New Roman" w:hAnsi="VIC-Regular" w:cs="Times New Roman"/>
          <w:color w:val="011A3C"/>
          <w:sz w:val="24"/>
          <w:szCs w:val="24"/>
          <w:lang w:val="en" w:eastAsia="en-AU"/>
        </w:rPr>
        <w:t>campuses with secondary enrolments according to an Area-based implementation model from 2019 to 2022.</w:t>
      </w:r>
      <w:r w:rsidR="00B046EE">
        <w:rPr>
          <w:rFonts w:ascii="VIC-Regular" w:eastAsia="Times New Roman" w:hAnsi="VIC-Regular" w:cs="Times New Roman"/>
          <w:color w:val="011A3C"/>
          <w:sz w:val="24"/>
          <w:szCs w:val="24"/>
          <w:lang w:val="en" w:eastAsia="en-AU"/>
        </w:rPr>
        <w:t xml:space="preserve"> Rollouts will occur during the Indicative, Confirmed and Revised budget cycles</w:t>
      </w:r>
      <w:r w:rsidR="007A6795">
        <w:rPr>
          <w:rFonts w:ascii="VIC-Regular" w:eastAsia="Times New Roman" w:hAnsi="VIC-Regular" w:cs="Times New Roman"/>
          <w:color w:val="011A3C"/>
          <w:sz w:val="24"/>
          <w:szCs w:val="24"/>
          <w:lang w:val="en" w:eastAsia="en-AU"/>
        </w:rPr>
        <w:t>, funding is allocated as credit and cash</w:t>
      </w:r>
      <w:r w:rsidR="00B046EE">
        <w:rPr>
          <w:rFonts w:ascii="VIC-Regular" w:eastAsia="Times New Roman" w:hAnsi="VIC-Regular" w:cs="Times New Roman"/>
          <w:color w:val="011A3C"/>
          <w:sz w:val="24"/>
          <w:szCs w:val="24"/>
          <w:lang w:val="en" w:eastAsia="en-AU"/>
        </w:rPr>
        <w:t>.</w:t>
      </w:r>
    </w:p>
    <w:p w14:paraId="02C574AA" w14:textId="62533086"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C195AAC" w14:textId="429C8ACE"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Campus FTE Allocation (Part 1)</w:t>
      </w:r>
      <w:r w:rsidRPr="009B668A">
        <w:rPr>
          <w:rFonts w:ascii="VIC-Regular" w:eastAsia="Times New Roman" w:hAnsi="VIC-Regular" w:cs="Times New Roman"/>
          <w:color w:val="011A3C"/>
          <w:sz w:val="24"/>
          <w:szCs w:val="24"/>
          <w:lang w:val="en" w:eastAsia="en-AU"/>
        </w:rPr>
        <w:t xml:space="preserve"> = Secondary Enrolments * 0.0008119</w:t>
      </w:r>
      <w:r w:rsidR="004E099D">
        <w:rPr>
          <w:rFonts w:ascii="VIC-Regular" w:eastAsia="Times New Roman" w:hAnsi="VIC-Regular" w:cs="Times New Roman"/>
          <w:color w:val="011A3C"/>
          <w:sz w:val="24"/>
          <w:szCs w:val="24"/>
          <w:lang w:val="en" w:eastAsia="en-AU"/>
        </w:rPr>
        <w:t xml:space="preserve"> </w:t>
      </w:r>
    </w:p>
    <w:p w14:paraId="23B86C2E" w14:textId="6D32F792"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Funding Calculation (Part 2)</w:t>
      </w:r>
      <w:r w:rsidRPr="009B668A">
        <w:rPr>
          <w:rFonts w:ascii="VIC-Regular" w:eastAsia="Times New Roman" w:hAnsi="VIC-Regular" w:cs="Times New Roman"/>
          <w:color w:val="011A3C"/>
          <w:sz w:val="24"/>
          <w:szCs w:val="24"/>
          <w:lang w:val="en" w:eastAsia="en-AU"/>
        </w:rPr>
        <w:t xml:space="preserve"> = Campus FTE Allocation</w:t>
      </w:r>
      <w:r w:rsidR="004E099D">
        <w:rPr>
          <w:rFonts w:ascii="VIC-Regular" w:eastAsia="Times New Roman" w:hAnsi="VIC-Regular" w:cs="Times New Roman"/>
          <w:color w:val="011A3C"/>
          <w:sz w:val="24"/>
          <w:szCs w:val="24"/>
          <w:lang w:val="en" w:eastAsia="en-AU"/>
        </w:rPr>
        <w:t xml:space="preserve"> (rounded to 1 decimal)</w:t>
      </w:r>
      <w:r w:rsidRPr="009B668A">
        <w:rPr>
          <w:rFonts w:ascii="VIC-Regular" w:eastAsia="Times New Roman" w:hAnsi="VIC-Regular" w:cs="Times New Roman"/>
          <w:color w:val="011A3C"/>
          <w:sz w:val="24"/>
          <w:szCs w:val="24"/>
          <w:lang w:val="en" w:eastAsia="en-AU"/>
        </w:rPr>
        <w:t xml:space="preserve"> * Rate</w:t>
      </w:r>
    </w:p>
    <w:p w14:paraId="751AD648" w14:textId="123E567C" w:rsid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lastRenderedPageBreak/>
        <w:t>Term Allocation Adjustment (Part 3)</w:t>
      </w:r>
      <w:r w:rsidRPr="009B668A">
        <w:rPr>
          <w:rFonts w:ascii="VIC-Regular" w:eastAsia="Times New Roman" w:hAnsi="VIC-Regular" w:cs="Times New Roman"/>
          <w:color w:val="011A3C"/>
          <w:sz w:val="24"/>
          <w:szCs w:val="24"/>
          <w:lang w:val="en" w:eastAsia="en-AU"/>
        </w:rPr>
        <w:t xml:space="preserve"> = Funding Calculation * Term Adjustment %</w:t>
      </w:r>
    </w:p>
    <w:p w14:paraId="4B03EB49" w14:textId="2CB256DB" w:rsidR="004E099D" w:rsidRPr="00AA54CC" w:rsidRDefault="004E099D" w:rsidP="004E099D">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 xml:space="preserve">Example: A secondary school with </w:t>
      </w:r>
      <w:r w:rsidR="00CB1045">
        <w:rPr>
          <w:rFonts w:ascii="VIC-Regular" w:eastAsia="Times New Roman" w:hAnsi="VIC-Regular" w:cs="Times New Roman"/>
          <w:color w:val="011A3C"/>
          <w:sz w:val="24"/>
          <w:szCs w:val="24"/>
          <w:lang w:val="en" w:eastAsia="en-AU"/>
        </w:rPr>
        <w:t>4</w:t>
      </w:r>
      <w:r w:rsidR="00CB1045" w:rsidRPr="00AA54CC">
        <w:rPr>
          <w:rFonts w:ascii="VIC-Regular" w:eastAsia="Times New Roman" w:hAnsi="VIC-Regular" w:cs="Times New Roman"/>
          <w:color w:val="011A3C"/>
          <w:sz w:val="24"/>
          <w:szCs w:val="24"/>
          <w:lang w:val="en" w:eastAsia="en-AU"/>
        </w:rPr>
        <w:t xml:space="preserve">00 </w:t>
      </w:r>
      <w:r w:rsidRPr="00AA54CC">
        <w:rPr>
          <w:rFonts w:ascii="VIC-Regular" w:eastAsia="Times New Roman" w:hAnsi="VIC-Regular" w:cs="Times New Roman"/>
          <w:color w:val="011A3C"/>
          <w:sz w:val="24"/>
          <w:szCs w:val="24"/>
          <w:lang w:val="en" w:eastAsia="en-AU"/>
        </w:rPr>
        <w:t>enrolments entering at Term 3 would calculate their funding as follows:</w:t>
      </w:r>
    </w:p>
    <w:p w14:paraId="11A58F4A" w14:textId="5350780B" w:rsidR="004E099D" w:rsidRPr="00371B75" w:rsidRDefault="004E099D" w:rsidP="004E099D">
      <w:pPr>
        <w:ind w:left="720" w:firstLine="720"/>
        <w:rPr>
          <w:color w:val="323E4F" w:themeColor="text2" w:themeShade="BF"/>
          <w:lang w:val="en" w:eastAsia="en-AU"/>
        </w:rPr>
      </w:pPr>
      <w:r w:rsidRPr="00371B75">
        <w:rPr>
          <w:b/>
          <w:bCs/>
          <w:color w:val="323E4F" w:themeColor="text2" w:themeShade="BF"/>
          <w:lang w:val="en" w:eastAsia="en-AU"/>
        </w:rPr>
        <w:t>Part 1</w:t>
      </w:r>
      <w:r w:rsidRPr="00371B75">
        <w:rPr>
          <w:color w:val="323E4F" w:themeColor="text2" w:themeShade="BF"/>
          <w:lang w:val="en" w:eastAsia="en-AU"/>
        </w:rPr>
        <w:t xml:space="preserve"> Campus FTE Allocation = Secondary Enrolments (400) * 0.0008119</w:t>
      </w:r>
    </w:p>
    <w:p w14:paraId="2DD36CD6" w14:textId="77777777" w:rsidR="00BC3588" w:rsidRPr="00371B75" w:rsidRDefault="004E099D" w:rsidP="004E099D">
      <w:pPr>
        <w:ind w:left="1440"/>
        <w:rPr>
          <w:color w:val="323E4F" w:themeColor="text2" w:themeShade="BF"/>
          <w:lang w:val="en" w:eastAsia="en-AU"/>
        </w:rPr>
      </w:pPr>
      <w:r w:rsidRPr="00371B75">
        <w:rPr>
          <w:b/>
          <w:bCs/>
          <w:color w:val="323E4F" w:themeColor="text2" w:themeShade="BF"/>
          <w:lang w:val="en" w:eastAsia="en-AU"/>
        </w:rPr>
        <w:t xml:space="preserve">Part 2 </w:t>
      </w:r>
      <w:r w:rsidRPr="00371B75">
        <w:rPr>
          <w:color w:val="323E4F" w:themeColor="text2" w:themeShade="BF"/>
          <w:lang w:val="en" w:eastAsia="en-AU"/>
        </w:rPr>
        <w:t>Funding Calculation = 0.3* Rate</w:t>
      </w:r>
    </w:p>
    <w:p w14:paraId="6AE64BD8" w14:textId="3B790C23" w:rsidR="004E099D" w:rsidRPr="00371B75" w:rsidRDefault="004E099D" w:rsidP="004E099D">
      <w:pPr>
        <w:ind w:left="1440"/>
        <w:rPr>
          <w:color w:val="323E4F" w:themeColor="text2" w:themeShade="BF"/>
          <w:lang w:val="en" w:eastAsia="en-AU"/>
        </w:rPr>
      </w:pPr>
      <w:r w:rsidRPr="00371B75">
        <w:rPr>
          <w:b/>
          <w:bCs/>
          <w:color w:val="323E4F" w:themeColor="text2" w:themeShade="BF"/>
          <w:lang w:val="en" w:eastAsia="en-AU"/>
        </w:rPr>
        <w:t xml:space="preserve">Part 3 </w:t>
      </w:r>
      <w:r w:rsidRPr="00371B75">
        <w:rPr>
          <w:color w:val="323E4F" w:themeColor="text2" w:themeShade="BF"/>
          <w:lang w:val="en" w:eastAsia="en-AU"/>
        </w:rPr>
        <w:t>Term Allocation Adjustment = Funding Calculation * 50%</w:t>
      </w:r>
    </w:p>
    <w:p w14:paraId="219B837E" w14:textId="77777777"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w:t>
      </w:r>
    </w:p>
    <w:p w14:paraId="66102BA6" w14:textId="50BADA56"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 xml:space="preserve">Rate = </w:t>
      </w:r>
      <w:r w:rsidR="0024684E" w:rsidRPr="0024684E">
        <w:rPr>
          <w:rFonts w:ascii="VIC-Regular" w:eastAsia="Times New Roman" w:hAnsi="VIC-Regular" w:cs="Times New Roman"/>
          <w:color w:val="011A3C"/>
          <w:sz w:val="24"/>
          <w:szCs w:val="24"/>
          <w:lang w:val="en" w:eastAsia="en-AU"/>
        </w:rPr>
        <w:t> </w:t>
      </w:r>
      <w:r w:rsidR="00337C31">
        <w:rPr>
          <w:rFonts w:ascii="VIC-Regular" w:eastAsia="Times New Roman" w:hAnsi="VIC-Regular" w:cs="Times New Roman"/>
          <w:color w:val="011A3C"/>
          <w:sz w:val="24"/>
          <w:szCs w:val="24"/>
          <w:lang w:val="en" w:eastAsia="en-AU"/>
        </w:rPr>
        <w:t>$</w:t>
      </w:r>
      <w:r w:rsidR="0024684E" w:rsidRPr="0024684E">
        <w:rPr>
          <w:rFonts w:ascii="VIC-Regular" w:eastAsia="Times New Roman" w:hAnsi="VIC-Regular" w:cs="Times New Roman"/>
          <w:color w:val="011A3C"/>
          <w:sz w:val="24"/>
          <w:szCs w:val="24"/>
          <w:lang w:val="en" w:eastAsia="en-AU"/>
        </w:rPr>
        <w:t xml:space="preserve">107,687.56  </w:t>
      </w:r>
      <w:r w:rsidRPr="009B668A">
        <w:rPr>
          <w:rFonts w:ascii="VIC-Regular" w:eastAsia="Times New Roman" w:hAnsi="VIC-Regular" w:cs="Times New Roman"/>
          <w:color w:val="011A3C"/>
          <w:sz w:val="24"/>
          <w:szCs w:val="24"/>
          <w:lang w:val="en" w:eastAsia="en-AU"/>
        </w:rPr>
        <w:t>(</w:t>
      </w:r>
      <w:r w:rsidR="00FC074C">
        <w:rPr>
          <w:rFonts w:ascii="VIC-Regular" w:eastAsia="Times New Roman" w:hAnsi="VIC-Regular" w:cs="Times New Roman"/>
          <w:color w:val="011A3C"/>
          <w:sz w:val="24"/>
          <w:szCs w:val="24"/>
          <w:lang w:val="en" w:eastAsia="en-AU"/>
        </w:rPr>
        <w:t>M</w:t>
      </w:r>
      <w:r w:rsidRPr="009B668A">
        <w:rPr>
          <w:rFonts w:ascii="VIC-Regular" w:eastAsia="Times New Roman" w:hAnsi="VIC-Regular" w:cs="Times New Roman"/>
          <w:color w:val="011A3C"/>
          <w:sz w:val="24"/>
          <w:szCs w:val="24"/>
          <w:lang w:val="en" w:eastAsia="en-AU"/>
        </w:rPr>
        <w:t>idpoint of an Education Support, Level 1 Range 4, position including school SRP on costs)</w:t>
      </w:r>
    </w:p>
    <w:p w14:paraId="156765F6" w14:textId="77777777" w:rsidR="009B668A" w:rsidRPr="00985091"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85091">
        <w:rPr>
          <w:rFonts w:ascii="VIC-Bold" w:eastAsia="Times New Roman" w:hAnsi="VIC-Bold" w:cs="Times New Roman"/>
          <w:b/>
          <w:bCs/>
          <w:color w:val="011A3C"/>
          <w:sz w:val="27"/>
          <w:szCs w:val="27"/>
          <w:lang w:val="en" w:eastAsia="en-AU"/>
        </w:rPr>
        <w:t>Term Adjustments %</w:t>
      </w:r>
    </w:p>
    <w:p w14:paraId="3ABF3C00" w14:textId="77777777" w:rsidR="009B668A" w:rsidRPr="00985091"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85091">
        <w:rPr>
          <w:rFonts w:ascii="VIC-Regular" w:eastAsia="Times New Roman" w:hAnsi="VIC-Regular" w:cs="Times New Roman"/>
          <w:color w:val="011A3C"/>
          <w:sz w:val="24"/>
          <w:szCs w:val="24"/>
          <w:lang w:val="en" w:eastAsia="en-AU"/>
        </w:rPr>
        <w:t>Rollout Term</w:t>
      </w:r>
    </w:p>
    <w:p w14:paraId="556D973A"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1: 100%</w:t>
      </w:r>
    </w:p>
    <w:p w14:paraId="684F73FE"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2: 75%</w:t>
      </w:r>
    </w:p>
    <w:p w14:paraId="4B21D501"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3: 50%</w:t>
      </w:r>
    </w:p>
    <w:p w14:paraId="6BF55942"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4: 25%</w:t>
      </w:r>
    </w:p>
    <w:p w14:paraId="2B6F0E41" w14:textId="5E82A19D" w:rsidR="00AD16F0" w:rsidRDefault="00AD16F0"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79AFFD9" w14:textId="70561394" w:rsidR="00AD16F0" w:rsidRDefault="000D106B"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26FB9095" w14:textId="77777777" w:rsidR="00ED4312" w:rsidRPr="00AA54CC" w:rsidRDefault="00ED4312" w:rsidP="00B449D7">
      <w:pPr>
        <w:pStyle w:val="Heading1"/>
      </w:pPr>
      <w:bookmarkStart w:id="16" w:name="_Toc52796177"/>
      <w:r w:rsidRPr="00AA54CC">
        <w:lastRenderedPageBreak/>
        <w:t xml:space="preserve">Student Resource Package </w:t>
      </w:r>
      <w:r w:rsidRPr="00AA54CC">
        <w:rPr>
          <w:rFonts w:hint="eastAsia"/>
        </w:rPr>
        <w:t>—</w:t>
      </w:r>
      <w:r w:rsidRPr="00AA54CC">
        <w:t xml:space="preserve"> Equity Funding (Student Based Funding)</w:t>
      </w:r>
      <w:bookmarkEnd w:id="16"/>
    </w:p>
    <w:p w14:paraId="38959E8E" w14:textId="77777777" w:rsidR="00ED4312" w:rsidRPr="00F45270" w:rsidRDefault="00ED4312" w:rsidP="00AA54CC">
      <w:pPr>
        <w:pStyle w:val="Heading3"/>
        <w:rPr>
          <w:rFonts w:ascii="VIC-Bold" w:eastAsia="Times New Roman" w:hAnsi="VIC-Bold" w:cs="Times New Roman"/>
          <w:sz w:val="36"/>
          <w:szCs w:val="36"/>
          <w:lang w:val="en" w:eastAsia="en-AU"/>
        </w:rPr>
      </w:pPr>
      <w:r w:rsidRPr="00F45270">
        <w:rPr>
          <w:rFonts w:ascii="VIC-Bold" w:eastAsia="Times New Roman" w:hAnsi="VIC-Bold" w:cs="Times New Roman"/>
          <w:sz w:val="36"/>
          <w:szCs w:val="36"/>
          <w:lang w:val="en" w:eastAsia="en-AU"/>
        </w:rPr>
        <w:t>Policy</w:t>
      </w:r>
    </w:p>
    <w:p w14:paraId="5EF089E5"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additional learning needs.</w:t>
      </w:r>
    </w:p>
    <w:p w14:paraId="4CE70E00" w14:textId="77777777" w:rsidR="00ED4312" w:rsidRPr="00F45270" w:rsidRDefault="00ED4312" w:rsidP="00AA54CC">
      <w:pPr>
        <w:pStyle w:val="Heading3"/>
        <w:rPr>
          <w:rFonts w:ascii="VIC-Bold" w:eastAsia="Times New Roman" w:hAnsi="VIC-Bold" w:cs="Times New Roman"/>
          <w:sz w:val="36"/>
          <w:szCs w:val="36"/>
          <w:lang w:val="en" w:eastAsia="en-AU"/>
        </w:rPr>
      </w:pPr>
      <w:r w:rsidRPr="00F45270">
        <w:rPr>
          <w:rFonts w:ascii="VIC-Bold" w:eastAsia="Times New Roman" w:hAnsi="VIC-Bold" w:cs="Times New Roman"/>
          <w:sz w:val="36"/>
          <w:szCs w:val="36"/>
          <w:lang w:val="en" w:eastAsia="en-AU"/>
        </w:rPr>
        <w:t>Details</w:t>
      </w:r>
    </w:p>
    <w:p w14:paraId="571100D9" w14:textId="30315370"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 xml:space="preserve">Equity funding is one of two types of </w:t>
      </w:r>
      <w:r w:rsidR="00080034">
        <w:rPr>
          <w:rFonts w:ascii="VIC-Regular" w:hAnsi="VIC-Regular"/>
          <w:color w:val="011A3C"/>
          <w:lang w:val="en"/>
        </w:rPr>
        <w:t>student-based</w:t>
      </w:r>
      <w:r>
        <w:rPr>
          <w:rFonts w:ascii="VIC-Regular" w:hAnsi="VIC-Regular"/>
          <w:color w:val="011A3C"/>
          <w:lang w:val="en"/>
        </w:rPr>
        <w:t xml:space="preserve"> funding. The other type of student based funding is </w:t>
      </w:r>
      <w:hyperlink r:id="rId21" w:history="1">
        <w:r>
          <w:rPr>
            <w:rStyle w:val="rpl-text-label2"/>
            <w:rFonts w:ascii="VIC-Regular" w:hAnsi="VIC-Regular"/>
            <w:lang w:val="en"/>
          </w:rPr>
          <w:t>Core Student Learning Allocation Funding</w:t>
        </w:r>
      </w:hyperlink>
      <w:r>
        <w:rPr>
          <w:rFonts w:ascii="VIC-Regular" w:hAnsi="VIC-Regular"/>
          <w:color w:val="011A3C"/>
          <w:lang w:val="en"/>
        </w:rPr>
        <w:t>.</w:t>
      </w:r>
    </w:p>
    <w:p w14:paraId="425A5F6C"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Student 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200B7CDD"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The SRP provides equity funding where additional funding is required to compensate for additional learning needs. The specific types of Equity funding are listed below.</w:t>
      </w:r>
    </w:p>
    <w:p w14:paraId="73C200D3" w14:textId="111AE918" w:rsidR="00ED4312" w:rsidRDefault="00F45270" w:rsidP="00ED4312">
      <w:pPr>
        <w:pStyle w:val="NormalWeb"/>
        <w:spacing w:line="360" w:lineRule="atLeast"/>
        <w:rPr>
          <w:rFonts w:ascii="VIC-Regular" w:hAnsi="VIC-Regular"/>
          <w:color w:val="011A3C"/>
          <w:lang w:val="en"/>
        </w:rPr>
      </w:pPr>
      <w:r>
        <w:rPr>
          <w:rFonts w:ascii="VIC-Regular" w:hAnsi="VIC-Regular"/>
          <w:color w:val="011A3C"/>
          <w:lang w:val="en"/>
        </w:rPr>
        <w:t>This section</w:t>
      </w:r>
      <w:r w:rsidR="00ED4312">
        <w:rPr>
          <w:rFonts w:ascii="VIC-Regular" w:hAnsi="VIC-Regular"/>
          <w:color w:val="011A3C"/>
          <w:lang w:val="en"/>
        </w:rPr>
        <w:t xml:space="preserve"> provides information about each of the specific types of equity funding:</w:t>
      </w:r>
    </w:p>
    <w:p w14:paraId="74A696FC" w14:textId="77777777" w:rsidR="00ED4312" w:rsidRDefault="00ED4312" w:rsidP="00ED4312">
      <w:pPr>
        <w:pStyle w:val="Heading3"/>
        <w:rPr>
          <w:rFonts w:ascii="VIC-Bold" w:hAnsi="VIC-Bold"/>
          <w:color w:val="011A3C"/>
          <w:lang w:val="en"/>
        </w:rPr>
      </w:pPr>
      <w:r>
        <w:rPr>
          <w:rStyle w:val="Strong"/>
          <w:color w:val="011A3C"/>
          <w:lang w:val="en"/>
        </w:rPr>
        <w:t>Education State (Including additional Gonski) </w:t>
      </w:r>
    </w:p>
    <w:p w14:paraId="35FB36F6" w14:textId="77777777" w:rsidR="00ED4312" w:rsidRDefault="00ED4312" w:rsidP="0087312C">
      <w:pPr>
        <w:numPr>
          <w:ilvl w:val="0"/>
          <w:numId w:val="15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Equity (Social Disadvantage)</w:t>
      </w:r>
    </w:p>
    <w:p w14:paraId="01784720" w14:textId="77777777" w:rsidR="00ED4312" w:rsidRDefault="00ED4312" w:rsidP="0087312C">
      <w:pPr>
        <w:numPr>
          <w:ilvl w:val="0"/>
          <w:numId w:val="15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Equity (Catch Up)</w:t>
      </w:r>
    </w:p>
    <w:p w14:paraId="7E4D3C3C" w14:textId="77777777" w:rsidR="00ED4312" w:rsidRDefault="00ED4312" w:rsidP="00ED4312">
      <w:pPr>
        <w:pStyle w:val="Heading3"/>
        <w:rPr>
          <w:rFonts w:ascii="VIC-Bold" w:hAnsi="VIC-Bold"/>
          <w:color w:val="011A3C"/>
          <w:lang w:val="en"/>
        </w:rPr>
      </w:pPr>
      <w:r>
        <w:rPr>
          <w:rStyle w:val="Strong"/>
          <w:color w:val="011A3C"/>
          <w:lang w:val="en"/>
        </w:rPr>
        <w:t>Other Equity</w:t>
      </w:r>
    </w:p>
    <w:p w14:paraId="740CD10A" w14:textId="77777777" w:rsidR="00ED4312" w:rsidRDefault="00ED4312" w:rsidP="0087312C">
      <w:pPr>
        <w:numPr>
          <w:ilvl w:val="0"/>
          <w:numId w:val="154"/>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Mobility</w:t>
      </w:r>
    </w:p>
    <w:p w14:paraId="2ABC7321" w14:textId="77777777" w:rsidR="00ED4312" w:rsidRDefault="00ED4312" w:rsidP="00ED4312">
      <w:pPr>
        <w:pStyle w:val="Heading3"/>
        <w:rPr>
          <w:rFonts w:ascii="VIC-Bold" w:hAnsi="VIC-Bold"/>
          <w:color w:val="011A3C"/>
          <w:lang w:val="en"/>
        </w:rPr>
      </w:pPr>
      <w:r>
        <w:rPr>
          <w:rStyle w:val="Strong"/>
          <w:color w:val="011A3C"/>
          <w:lang w:val="en"/>
        </w:rPr>
        <w:t>Programs for Students with Disabilities</w:t>
      </w:r>
    </w:p>
    <w:p w14:paraId="1A9994A1"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Program for Students with Disabilities Levels 1-6</w:t>
      </w:r>
    </w:p>
    <w:p w14:paraId="10E79D96"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Program for Students with Disabilities — Transition Support Funding</w:t>
      </w:r>
    </w:p>
    <w:p w14:paraId="209546B5"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Special School Complexity</w:t>
      </w:r>
    </w:p>
    <w:p w14:paraId="19C63E9C"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lastRenderedPageBreak/>
        <w:t>Interpreter Staff Salaries</w:t>
      </w:r>
    </w:p>
    <w:p w14:paraId="655CAAA1"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Medical Intervention Support</w:t>
      </w:r>
    </w:p>
    <w:p w14:paraId="2F0AD907"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Special School Transport Administrative Cost</w:t>
      </w:r>
    </w:p>
    <w:p w14:paraId="4E34A2A8" w14:textId="77777777" w:rsidR="00ED4312" w:rsidRDefault="00ED4312" w:rsidP="00ED4312">
      <w:pPr>
        <w:pStyle w:val="Heading3"/>
        <w:rPr>
          <w:rFonts w:ascii="VIC-Bold" w:hAnsi="VIC-Bold"/>
          <w:color w:val="011A3C"/>
          <w:lang w:val="en"/>
        </w:rPr>
      </w:pPr>
      <w:r>
        <w:rPr>
          <w:rStyle w:val="Strong"/>
          <w:color w:val="011A3C"/>
          <w:lang w:val="en"/>
        </w:rPr>
        <w:t>English as an Additional Language</w:t>
      </w:r>
    </w:p>
    <w:p w14:paraId="5450DAF3" w14:textId="77777777" w:rsidR="00ED4312" w:rsidRDefault="00ED4312" w:rsidP="0087312C">
      <w:pPr>
        <w:numPr>
          <w:ilvl w:val="0"/>
          <w:numId w:val="15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EAL Program Funding</w:t>
      </w:r>
    </w:p>
    <w:p w14:paraId="3CEC86E7" w14:textId="77777777" w:rsidR="00ED4312" w:rsidRDefault="00ED4312" w:rsidP="0087312C">
      <w:pPr>
        <w:numPr>
          <w:ilvl w:val="0"/>
          <w:numId w:val="15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EAL Contingency Funding</w:t>
      </w:r>
    </w:p>
    <w:p w14:paraId="5900119A"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Not all types of funding are available to all schools. Funding is assessed according to school and student need.</w:t>
      </w:r>
    </w:p>
    <w:p w14:paraId="72B017EF"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70B40B90" w14:textId="3139F640" w:rsidR="00ED4312" w:rsidRPr="000D106B" w:rsidRDefault="00ED4312" w:rsidP="000D106B">
      <w:pPr>
        <w:rPr>
          <w:rFonts w:ascii="VIC-Regular" w:eastAsia="Times New Roman" w:hAnsi="VIC-Regular" w:cs="Times New Roman"/>
          <w:color w:val="011A3C"/>
          <w:sz w:val="24"/>
          <w:szCs w:val="24"/>
          <w:lang w:val="en" w:eastAsia="en-AU"/>
        </w:rPr>
      </w:pPr>
      <w:r>
        <w:rPr>
          <w:rFonts w:ascii="VIC-Regular" w:hAnsi="VIC-Regular"/>
          <w:color w:val="011A3C"/>
          <w:lang w:val="en"/>
        </w:rPr>
        <w:br w:type="page"/>
      </w:r>
    </w:p>
    <w:p w14:paraId="78D3554F" w14:textId="0E08AA1A" w:rsidR="00AD16F0" w:rsidRPr="00A463FE" w:rsidRDefault="00AD16F0" w:rsidP="00842992">
      <w:pPr>
        <w:pStyle w:val="Heading2"/>
      </w:pPr>
      <w:bookmarkStart w:id="17" w:name="_Toc52796178"/>
      <w:r w:rsidRPr="00A463FE">
        <w:lastRenderedPageBreak/>
        <w:t>Equity (Social Disadvantage) (Reference 11)</w:t>
      </w:r>
      <w:bookmarkEnd w:id="17"/>
    </w:p>
    <w:p w14:paraId="5E7CAAF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Funding for Equity (Social Disadvantage) provides an individual loading for students from disadvantaged backgrounds that will increase with the density of disadvantage at the school. Social disadvantage can often place students well behind their peers when entering the education system. Increased funding for schools has proven to raise educational outcomes, particularly for these students. Schools will use Social Disadvantage funding to deliver tailored educational programs that meet the needs of this cohort of students.</w:t>
      </w:r>
    </w:p>
    <w:p w14:paraId="6FB6A11C"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Equity (Social Disadvantage) loading allocates funding based on parental occupation, parental education and the level of concentration of disadvantage in a school. Students with the highest level of need will be targeted with the most funding to ensure schools have the resources to support them. The loading is need based, however to increase year on year stability for schools, a floor on negative funding changes and a weighted rolling average is applied to this loading.</w:t>
      </w:r>
    </w:p>
    <w:p w14:paraId="4C4FACE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While having similarities to the former Student Family Occupation (SFO) index, the Equity (Social Disadvantage) funding contains some important differences:</w:t>
      </w:r>
    </w:p>
    <w:p w14:paraId="27A8EBF7" w14:textId="77777777" w:rsidR="00AD16F0" w:rsidRPr="00A463FE" w:rsidRDefault="00AD16F0" w:rsidP="00080034">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Social Disadvantage utilises both the Student Family Education (SFE) and SFO index, further strengthening the targeting of existing and new equity funding.</w:t>
      </w:r>
    </w:p>
    <w:p w14:paraId="1671389A" w14:textId="77777777" w:rsidR="00AD16F0" w:rsidRPr="00A463FE" w:rsidRDefault="00AD16F0" w:rsidP="00080034">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median threshold previously used under the SFO for equity no longer exists.</w:t>
      </w:r>
    </w:p>
    <w:p w14:paraId="10952592" w14:textId="77777777" w:rsidR="00AD16F0" w:rsidRPr="00A463FE" w:rsidRDefault="00AD16F0" w:rsidP="00080034">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All students identified with high needs will be provided with funding.</w:t>
      </w:r>
    </w:p>
    <w:p w14:paraId="44CEF94D"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Eligibility</w:t>
      </w:r>
    </w:p>
    <w:p w14:paraId="533EDFB4" w14:textId="66D5E234" w:rsidR="00AD16F0" w:rsidRPr="00A463FE" w:rsidRDefault="00AD16F0" w:rsidP="00080034">
      <w:pPr>
        <w:numPr>
          <w:ilvl w:val="0"/>
          <w:numId w:val="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All School types are eligible, students identified with high needs will be provided with funding at </w:t>
      </w:r>
      <w:r w:rsidR="00EC143E">
        <w:rPr>
          <w:rFonts w:ascii="VIC-Regular" w:eastAsia="Times New Roman" w:hAnsi="VIC-Regular" w:cs="Times New Roman"/>
          <w:color w:val="011A3C"/>
          <w:sz w:val="24"/>
          <w:szCs w:val="24"/>
          <w:lang w:val="en" w:eastAsia="en-AU"/>
        </w:rPr>
        <w:t xml:space="preserve">school </w:t>
      </w:r>
      <w:r w:rsidRPr="00A463FE">
        <w:rPr>
          <w:rFonts w:ascii="VIC-Regular" w:eastAsia="Times New Roman" w:hAnsi="VIC-Regular" w:cs="Times New Roman"/>
          <w:color w:val="011A3C"/>
          <w:sz w:val="24"/>
          <w:szCs w:val="24"/>
          <w:lang w:val="en" w:eastAsia="en-AU"/>
        </w:rPr>
        <w:t>level.</w:t>
      </w:r>
    </w:p>
    <w:p w14:paraId="0FD86462" w14:textId="17A8B4DE" w:rsidR="00EC143E" w:rsidRDefault="00EC143E" w:rsidP="000E2834">
      <w:pPr>
        <w:pStyle w:val="ListParagraph"/>
        <w:spacing w:before="100" w:beforeAutospacing="1" w:after="100" w:afterAutospacing="1" w:line="360" w:lineRule="atLeast"/>
        <w:ind w:left="0"/>
        <w:rPr>
          <w:rFonts w:ascii="VIC-Regular" w:eastAsia="Times New Roman" w:hAnsi="VIC-Regular" w:cs="Times New Roman"/>
          <w:color w:val="011A3C"/>
          <w:sz w:val="24"/>
          <w:szCs w:val="24"/>
          <w:lang w:val="en" w:eastAsia="en-AU"/>
        </w:rPr>
      </w:pPr>
      <w:r w:rsidRPr="00EC143E">
        <w:rPr>
          <w:rFonts w:ascii="VIC-Regular" w:eastAsia="Times New Roman" w:hAnsi="VIC-Regular" w:cs="Times New Roman"/>
          <w:color w:val="011A3C"/>
          <w:sz w:val="24"/>
          <w:szCs w:val="24"/>
          <w:lang w:val="en" w:eastAsia="en-AU"/>
        </w:rPr>
        <w:t>Funding will be calculated at the Indicative budget cycle</w:t>
      </w:r>
      <w:r w:rsidR="00FB4A51">
        <w:rPr>
          <w:rFonts w:ascii="VIC-Regular" w:eastAsia="Times New Roman" w:hAnsi="VIC-Regular" w:cs="Times New Roman"/>
          <w:color w:val="011A3C"/>
          <w:sz w:val="24"/>
          <w:szCs w:val="24"/>
          <w:lang w:val="en" w:eastAsia="en-AU"/>
        </w:rPr>
        <w:t xml:space="preserve"> only</w:t>
      </w:r>
      <w:r w:rsidRPr="00EC143E">
        <w:rPr>
          <w:rFonts w:ascii="VIC-Regular" w:eastAsia="Times New Roman" w:hAnsi="VIC-Regular" w:cs="Times New Roman"/>
          <w:color w:val="011A3C"/>
          <w:sz w:val="24"/>
          <w:szCs w:val="24"/>
          <w:lang w:val="en" w:eastAsia="en-AU"/>
        </w:rPr>
        <w:t>, schools are provided with cash and credit funding.</w:t>
      </w:r>
    </w:p>
    <w:p w14:paraId="0CBC6621" w14:textId="6291D655" w:rsidR="00AD16F0" w:rsidRPr="00A463FE" w:rsidRDefault="00AD16F0" w:rsidP="00FF25C9">
      <w:pPr>
        <w:keepNext/>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463FE">
        <w:rPr>
          <w:rFonts w:ascii="VIC-Bold" w:eastAsia="Times New Roman" w:hAnsi="VIC-Bold" w:cs="Times New Roman"/>
          <w:color w:val="011A3C"/>
          <w:sz w:val="24"/>
          <w:szCs w:val="24"/>
          <w:lang w:val="en" w:eastAsia="en-AU"/>
        </w:rPr>
        <w:lastRenderedPageBreak/>
        <w:t>How social disadvantage is identified</w:t>
      </w:r>
    </w:p>
    <w:p w14:paraId="32A6CA51"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level of Social Disadvantage is measured through the student’s Student Family Occupation and Education (SFOE), which is a combination of their SFO and SFE categories. The matrix below in Table 1 depicts the possible SFOE categories a student may have. These categories are used to determine which students come from disadvantaged backgrounds and the Social Disadvantage loading they would attract. There are two levels of Social Disadvantage loadings available, depending on the student’s level of need: </w:t>
      </w:r>
    </w:p>
    <w:p w14:paraId="43AC667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t>Level 1</w:t>
      </w:r>
      <w:r w:rsidRPr="00A463FE">
        <w:rPr>
          <w:rFonts w:ascii="VIC-Regular" w:eastAsia="Times New Roman" w:hAnsi="VIC-Regular" w:cs="Times New Roman"/>
          <w:color w:val="011A3C"/>
          <w:sz w:val="24"/>
          <w:szCs w:val="24"/>
          <w:lang w:val="en" w:eastAsia="en-AU"/>
        </w:rPr>
        <w:t>: For students with parents who are unemployed with below diploma level education or have lower skilled jobs with very low or low education</w:t>
      </w:r>
    </w:p>
    <w:p w14:paraId="47E378F6"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t>Level 2</w:t>
      </w:r>
      <w:r w:rsidRPr="00A463FE">
        <w:rPr>
          <w:rFonts w:ascii="VIC-Regular" w:eastAsia="Times New Roman" w:hAnsi="VIC-Regular" w:cs="Times New Roman"/>
          <w:color w:val="011A3C"/>
          <w:sz w:val="24"/>
          <w:szCs w:val="24"/>
          <w:lang w:val="en" w:eastAsia="en-AU"/>
        </w:rPr>
        <w:t>: For students with parents who have various combinations of medium and low skilled jobs and education levels, or are unemployed with a diploma level education</w:t>
      </w:r>
    </w:p>
    <w:p w14:paraId="7CA442C4"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1</w:t>
      </w:r>
    </w:p>
    <w:p w14:paraId="44A24B65" w14:textId="12DAB920"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letters</w:t>
      </w:r>
      <w:r w:rsidR="000E2834">
        <w:rPr>
          <w:rFonts w:ascii="VIC-Regular" w:eastAsia="Times New Roman" w:hAnsi="VIC-Regular" w:cs="Times New Roman"/>
          <w:color w:val="011A3C"/>
          <w:sz w:val="24"/>
          <w:szCs w:val="24"/>
          <w:lang w:val="en" w:eastAsia="en-AU"/>
        </w:rPr>
        <w:t xml:space="preserve"> (A to U)</w:t>
      </w:r>
      <w:r w:rsidRPr="00A463FE">
        <w:rPr>
          <w:rFonts w:ascii="VIC-Regular" w:eastAsia="Times New Roman" w:hAnsi="VIC-Regular" w:cs="Times New Roman"/>
          <w:color w:val="011A3C"/>
          <w:sz w:val="24"/>
          <w:szCs w:val="24"/>
          <w:lang w:val="en" w:eastAsia="en-AU"/>
        </w:rPr>
        <w:t xml:space="preserve"> in the </w:t>
      </w:r>
      <w:r w:rsidR="00992D19" w:rsidRPr="00A463FE">
        <w:rPr>
          <w:rFonts w:ascii="VIC-Regular" w:eastAsia="Times New Roman" w:hAnsi="VIC-Regular" w:cs="Times New Roman"/>
          <w:color w:val="011A3C"/>
          <w:sz w:val="24"/>
          <w:szCs w:val="24"/>
          <w:lang w:val="en" w:eastAsia="en-AU"/>
        </w:rPr>
        <w:t>far-right</w:t>
      </w:r>
      <w:r w:rsidRPr="00A463FE">
        <w:rPr>
          <w:rFonts w:ascii="VIC-Regular" w:eastAsia="Times New Roman" w:hAnsi="VIC-Regular" w:cs="Times New Roman"/>
          <w:color w:val="011A3C"/>
          <w:sz w:val="24"/>
          <w:szCs w:val="24"/>
          <w:lang w:val="en" w:eastAsia="en-AU"/>
        </w:rPr>
        <w:t xml:space="preserve"> columns reference SFO categories</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9"/>
        <w:gridCol w:w="4803"/>
        <w:gridCol w:w="359"/>
        <w:gridCol w:w="359"/>
        <w:gridCol w:w="392"/>
        <w:gridCol w:w="390"/>
        <w:gridCol w:w="400"/>
        <w:gridCol w:w="383"/>
      </w:tblGrid>
      <w:tr w:rsidR="00124D27" w:rsidRPr="00A463FE" w14:paraId="4EF03356" w14:textId="77777777" w:rsidTr="000E2834">
        <w:trPr>
          <w:trHeight w:val="275"/>
          <w:tblHeader/>
        </w:trPr>
        <w:tc>
          <w:tcPr>
            <w:tcW w:w="0" w:type="auto"/>
            <w:hideMark/>
          </w:tcPr>
          <w:p w14:paraId="213334A4" w14:textId="77777777" w:rsidR="00124D27" w:rsidRPr="00371B75"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CASES21 Code</w:t>
            </w:r>
          </w:p>
        </w:tc>
        <w:tc>
          <w:tcPr>
            <w:tcW w:w="0" w:type="auto"/>
            <w:hideMark/>
          </w:tcPr>
          <w:p w14:paraId="44772DFA" w14:textId="77777777" w:rsidR="00124D27" w:rsidRPr="00371B75"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Education Category</w:t>
            </w:r>
          </w:p>
        </w:tc>
        <w:tc>
          <w:tcPr>
            <w:tcW w:w="0" w:type="auto"/>
            <w:gridSpan w:val="6"/>
            <w:hideMark/>
          </w:tcPr>
          <w:p w14:paraId="74E6A260" w14:textId="1CF55EC9" w:rsidR="00124D27" w:rsidRPr="00371B75" w:rsidRDefault="00124D27" w:rsidP="00124D2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SFO Category</w:t>
            </w:r>
          </w:p>
        </w:tc>
      </w:tr>
      <w:tr w:rsidR="00AD16F0" w:rsidRPr="00A463FE" w14:paraId="269767A4" w14:textId="77777777" w:rsidTr="000E2834">
        <w:trPr>
          <w:trHeight w:val="344"/>
        </w:trPr>
        <w:tc>
          <w:tcPr>
            <w:tcW w:w="0" w:type="auto"/>
            <w:hideMark/>
          </w:tcPr>
          <w:p w14:paraId="6FEE4AD2" w14:textId="77777777" w:rsidR="00AD16F0" w:rsidRPr="00371B75" w:rsidRDefault="00AD16F0" w:rsidP="00AD16F0">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23B95FAA" w14:textId="77777777" w:rsidR="00AD16F0" w:rsidRPr="00371B75" w:rsidRDefault="00AD16F0" w:rsidP="00AD16F0">
            <w:pPr>
              <w:spacing w:after="0" w:line="36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1997BC86"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w:t>
            </w:r>
          </w:p>
        </w:tc>
        <w:tc>
          <w:tcPr>
            <w:tcW w:w="0" w:type="auto"/>
            <w:hideMark/>
          </w:tcPr>
          <w:p w14:paraId="6D282A42"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w:t>
            </w:r>
          </w:p>
        </w:tc>
        <w:tc>
          <w:tcPr>
            <w:tcW w:w="0" w:type="auto"/>
            <w:hideMark/>
          </w:tcPr>
          <w:p w14:paraId="38EA0E0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w:t>
            </w:r>
          </w:p>
        </w:tc>
        <w:tc>
          <w:tcPr>
            <w:tcW w:w="0" w:type="auto"/>
            <w:hideMark/>
          </w:tcPr>
          <w:p w14:paraId="0629EE1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w:t>
            </w:r>
          </w:p>
        </w:tc>
        <w:tc>
          <w:tcPr>
            <w:tcW w:w="0" w:type="auto"/>
            <w:hideMark/>
          </w:tcPr>
          <w:p w14:paraId="11A02C12"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w:t>
            </w:r>
          </w:p>
        </w:tc>
        <w:tc>
          <w:tcPr>
            <w:tcW w:w="0" w:type="auto"/>
            <w:hideMark/>
          </w:tcPr>
          <w:p w14:paraId="48C7731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U</w:t>
            </w:r>
          </w:p>
        </w:tc>
      </w:tr>
      <w:tr w:rsidR="00AD16F0" w:rsidRPr="00A463FE" w14:paraId="3AAD9EFF" w14:textId="77777777" w:rsidTr="000E2834">
        <w:trPr>
          <w:trHeight w:val="344"/>
        </w:trPr>
        <w:tc>
          <w:tcPr>
            <w:tcW w:w="0" w:type="auto"/>
            <w:hideMark/>
          </w:tcPr>
          <w:p w14:paraId="196FC51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FE8B3E8"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Not Stated/Unknown</w:t>
            </w:r>
          </w:p>
        </w:tc>
        <w:tc>
          <w:tcPr>
            <w:tcW w:w="0" w:type="auto"/>
            <w:hideMark/>
          </w:tcPr>
          <w:p w14:paraId="4D4AC01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7B83973"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180DDBA"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7C6E01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338FC30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2D3A8FD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5E241894" w14:textId="77777777" w:rsidTr="000E2834">
        <w:trPr>
          <w:trHeight w:val="344"/>
        </w:trPr>
        <w:tc>
          <w:tcPr>
            <w:tcW w:w="0" w:type="auto"/>
            <w:hideMark/>
          </w:tcPr>
          <w:p w14:paraId="31B97FB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34648816"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9 or below</w:t>
            </w:r>
          </w:p>
        </w:tc>
        <w:tc>
          <w:tcPr>
            <w:tcW w:w="0" w:type="auto"/>
            <w:hideMark/>
          </w:tcPr>
          <w:p w14:paraId="0FC5853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279464E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2F098B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631E617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1F8D0D2A"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013EB7F6"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3430E808" w14:textId="77777777" w:rsidTr="000E2834">
        <w:trPr>
          <w:trHeight w:val="344"/>
        </w:trPr>
        <w:tc>
          <w:tcPr>
            <w:tcW w:w="0" w:type="auto"/>
            <w:hideMark/>
          </w:tcPr>
          <w:p w14:paraId="29CFD928"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25CAAE59"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10 or equivalent</w:t>
            </w:r>
          </w:p>
        </w:tc>
        <w:tc>
          <w:tcPr>
            <w:tcW w:w="0" w:type="auto"/>
            <w:hideMark/>
          </w:tcPr>
          <w:p w14:paraId="6B8F4580"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726A300A"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EC1E93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201DC1DF"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30A35377"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04C5D2B4"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37456050" w14:textId="77777777" w:rsidTr="000E2834">
        <w:trPr>
          <w:trHeight w:val="344"/>
        </w:trPr>
        <w:tc>
          <w:tcPr>
            <w:tcW w:w="0" w:type="auto"/>
            <w:hideMark/>
          </w:tcPr>
          <w:p w14:paraId="53424DED"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31B460D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11 or equivalent</w:t>
            </w:r>
          </w:p>
        </w:tc>
        <w:tc>
          <w:tcPr>
            <w:tcW w:w="0" w:type="auto"/>
            <w:hideMark/>
          </w:tcPr>
          <w:p w14:paraId="6FF375C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9FA98E0"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DC7C92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047BC53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1B499AB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71C1EA45"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41C4DDDB" w14:textId="77777777" w:rsidTr="000E2834">
        <w:trPr>
          <w:trHeight w:val="344"/>
        </w:trPr>
        <w:tc>
          <w:tcPr>
            <w:tcW w:w="0" w:type="auto"/>
            <w:hideMark/>
          </w:tcPr>
          <w:p w14:paraId="7B8CB1A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w:t>
            </w:r>
          </w:p>
        </w:tc>
        <w:tc>
          <w:tcPr>
            <w:tcW w:w="0" w:type="auto"/>
            <w:hideMark/>
          </w:tcPr>
          <w:p w14:paraId="5F8856A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Yr 12 or equivalent</w:t>
            </w:r>
          </w:p>
        </w:tc>
        <w:tc>
          <w:tcPr>
            <w:tcW w:w="0" w:type="auto"/>
            <w:hideMark/>
          </w:tcPr>
          <w:p w14:paraId="0C70BEE7"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5C5857E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431AE75"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0FEA16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038309FF"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55232EB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1E072772" w14:textId="77777777" w:rsidTr="000E2834">
        <w:trPr>
          <w:trHeight w:val="344"/>
        </w:trPr>
        <w:tc>
          <w:tcPr>
            <w:tcW w:w="0" w:type="auto"/>
            <w:hideMark/>
          </w:tcPr>
          <w:p w14:paraId="387FE23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1D153E28"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Certificate I to IV</w:t>
            </w:r>
          </w:p>
        </w:tc>
        <w:tc>
          <w:tcPr>
            <w:tcW w:w="0" w:type="auto"/>
            <w:hideMark/>
          </w:tcPr>
          <w:p w14:paraId="52FE3B87"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7E3E905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133714E"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6D8E9D2B"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133060A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1</w:t>
            </w:r>
          </w:p>
        </w:tc>
        <w:tc>
          <w:tcPr>
            <w:tcW w:w="0" w:type="auto"/>
            <w:hideMark/>
          </w:tcPr>
          <w:p w14:paraId="41F98F9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03FAA323" w14:textId="77777777" w:rsidTr="000E2834">
        <w:trPr>
          <w:trHeight w:val="344"/>
        </w:trPr>
        <w:tc>
          <w:tcPr>
            <w:tcW w:w="0" w:type="auto"/>
            <w:hideMark/>
          </w:tcPr>
          <w:p w14:paraId="1380F6BD"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w:t>
            </w:r>
          </w:p>
        </w:tc>
        <w:tc>
          <w:tcPr>
            <w:tcW w:w="0" w:type="auto"/>
            <w:hideMark/>
          </w:tcPr>
          <w:p w14:paraId="55867E96"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Advanced Dip/Diploma</w:t>
            </w:r>
          </w:p>
        </w:tc>
        <w:tc>
          <w:tcPr>
            <w:tcW w:w="0" w:type="auto"/>
            <w:hideMark/>
          </w:tcPr>
          <w:p w14:paraId="23B316B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287C06C3"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391C1FD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6FF1D8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41C9F62"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2</w:t>
            </w:r>
          </w:p>
        </w:tc>
        <w:tc>
          <w:tcPr>
            <w:tcW w:w="0" w:type="auto"/>
            <w:hideMark/>
          </w:tcPr>
          <w:p w14:paraId="591B3630"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r w:rsidR="00AD16F0" w:rsidRPr="00A463FE" w14:paraId="01EAA570" w14:textId="77777777" w:rsidTr="000E2834">
        <w:trPr>
          <w:trHeight w:val="344"/>
        </w:trPr>
        <w:tc>
          <w:tcPr>
            <w:tcW w:w="0" w:type="auto"/>
            <w:hideMark/>
          </w:tcPr>
          <w:p w14:paraId="41512512"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w:t>
            </w:r>
          </w:p>
        </w:tc>
        <w:tc>
          <w:tcPr>
            <w:tcW w:w="0" w:type="auto"/>
            <w:hideMark/>
          </w:tcPr>
          <w:p w14:paraId="6107F595"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SFE Bachelor degree or above</w:t>
            </w:r>
          </w:p>
        </w:tc>
        <w:tc>
          <w:tcPr>
            <w:tcW w:w="0" w:type="auto"/>
            <w:hideMark/>
          </w:tcPr>
          <w:p w14:paraId="0965515D"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EEF166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053B616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5214B383"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7F37958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127086A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r>
    </w:tbl>
    <w:p w14:paraId="21D97B5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density of need according to each school’s new SFOE index will further weight the Social Disadvantage loadings.</w:t>
      </w:r>
    </w:p>
    <w:p w14:paraId="2F5CFD7E"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calculate the SFO index, the parent’s occupation is categorised and weighted according to the categories found in Table 2 below. Data regarding occupational categories is collected each year as part of the August census</w:t>
      </w:r>
    </w:p>
    <w:p w14:paraId="1D758931"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lastRenderedPageBreak/>
        <w:t>Table 2</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0"/>
        <w:gridCol w:w="6835"/>
        <w:gridCol w:w="1649"/>
      </w:tblGrid>
      <w:tr w:rsidR="00AD16F0" w:rsidRPr="00A463FE" w14:paraId="22C6F4D3" w14:textId="77777777" w:rsidTr="000E2834">
        <w:trPr>
          <w:tblHeader/>
        </w:trPr>
        <w:tc>
          <w:tcPr>
            <w:tcW w:w="0" w:type="auto"/>
            <w:hideMark/>
          </w:tcPr>
          <w:p w14:paraId="411CDC0A" w14:textId="77777777" w:rsidR="00AD16F0" w:rsidRPr="00371B75"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Category</w:t>
            </w:r>
          </w:p>
        </w:tc>
        <w:tc>
          <w:tcPr>
            <w:tcW w:w="0" w:type="auto"/>
            <w:hideMark/>
          </w:tcPr>
          <w:p w14:paraId="0B32512A"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Occupation Grouping</w:t>
            </w:r>
          </w:p>
        </w:tc>
        <w:tc>
          <w:tcPr>
            <w:tcW w:w="856" w:type="pct"/>
            <w:hideMark/>
          </w:tcPr>
          <w:p w14:paraId="24607075" w14:textId="77777777" w:rsidR="00AD16F0" w:rsidRPr="00371B75"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Weighting</w:t>
            </w:r>
          </w:p>
        </w:tc>
      </w:tr>
      <w:tr w:rsidR="00AD16F0" w:rsidRPr="00A463FE" w14:paraId="20B03929" w14:textId="77777777" w:rsidTr="000E2834">
        <w:tc>
          <w:tcPr>
            <w:tcW w:w="0" w:type="auto"/>
            <w:hideMark/>
          </w:tcPr>
          <w:p w14:paraId="45AAFE98"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w:t>
            </w:r>
          </w:p>
        </w:tc>
        <w:tc>
          <w:tcPr>
            <w:tcW w:w="0" w:type="auto"/>
            <w:hideMark/>
          </w:tcPr>
          <w:p w14:paraId="4BF5F30C"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Senior management in large business organisation, government administration and defence, and qualified professionals</w:t>
            </w:r>
          </w:p>
        </w:tc>
        <w:tc>
          <w:tcPr>
            <w:tcW w:w="856" w:type="pct"/>
            <w:hideMark/>
          </w:tcPr>
          <w:p w14:paraId="3579E76E"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0.00</w:t>
            </w:r>
          </w:p>
        </w:tc>
      </w:tr>
      <w:tr w:rsidR="00AD16F0" w:rsidRPr="00A463FE" w14:paraId="4E55E16C" w14:textId="77777777" w:rsidTr="000E2834">
        <w:tc>
          <w:tcPr>
            <w:tcW w:w="0" w:type="auto"/>
            <w:hideMark/>
          </w:tcPr>
          <w:p w14:paraId="238D9756"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w:t>
            </w:r>
          </w:p>
        </w:tc>
        <w:tc>
          <w:tcPr>
            <w:tcW w:w="0" w:type="auto"/>
            <w:hideMark/>
          </w:tcPr>
          <w:p w14:paraId="09F395FD"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Other business managers, arts/media/sports persons and associate professionals</w:t>
            </w:r>
          </w:p>
        </w:tc>
        <w:tc>
          <w:tcPr>
            <w:tcW w:w="856" w:type="pct"/>
            <w:hideMark/>
          </w:tcPr>
          <w:p w14:paraId="60CDB2EC"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0.25</w:t>
            </w:r>
          </w:p>
        </w:tc>
      </w:tr>
      <w:tr w:rsidR="00AD16F0" w:rsidRPr="00A463FE" w14:paraId="58D1EDF8" w14:textId="77777777" w:rsidTr="000E2834">
        <w:tc>
          <w:tcPr>
            <w:tcW w:w="0" w:type="auto"/>
            <w:hideMark/>
          </w:tcPr>
          <w:p w14:paraId="4FB5D655"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w:t>
            </w:r>
          </w:p>
        </w:tc>
        <w:tc>
          <w:tcPr>
            <w:tcW w:w="0" w:type="auto"/>
            <w:hideMark/>
          </w:tcPr>
          <w:p w14:paraId="0DEC5C8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Tradesmen/women, skilled office, sales and service staff</w:t>
            </w:r>
          </w:p>
        </w:tc>
        <w:tc>
          <w:tcPr>
            <w:tcW w:w="856" w:type="pct"/>
            <w:hideMark/>
          </w:tcPr>
          <w:p w14:paraId="3FA5DB11"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0.50</w:t>
            </w:r>
          </w:p>
        </w:tc>
      </w:tr>
      <w:tr w:rsidR="00AD16F0" w:rsidRPr="00A463FE" w14:paraId="30C2DE6E" w14:textId="77777777" w:rsidTr="000E2834">
        <w:tc>
          <w:tcPr>
            <w:tcW w:w="0" w:type="auto"/>
            <w:hideMark/>
          </w:tcPr>
          <w:p w14:paraId="08A33849"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w:t>
            </w:r>
          </w:p>
        </w:tc>
        <w:tc>
          <w:tcPr>
            <w:tcW w:w="0" w:type="auto"/>
            <w:hideMark/>
          </w:tcPr>
          <w:p w14:paraId="78B2FF4A"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Machine operators, hospitality staff, assistants, labourers and related workers</w:t>
            </w:r>
          </w:p>
        </w:tc>
        <w:tc>
          <w:tcPr>
            <w:tcW w:w="856" w:type="pct"/>
            <w:hideMark/>
          </w:tcPr>
          <w:p w14:paraId="05F8B19F"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0.75</w:t>
            </w:r>
          </w:p>
        </w:tc>
      </w:tr>
      <w:tr w:rsidR="00AD16F0" w:rsidRPr="00A463FE" w14:paraId="365A89AF" w14:textId="77777777" w:rsidTr="000E2834">
        <w:tc>
          <w:tcPr>
            <w:tcW w:w="0" w:type="auto"/>
            <w:hideMark/>
          </w:tcPr>
          <w:p w14:paraId="3EDBE83E" w14:textId="77777777" w:rsidR="00AD16F0" w:rsidRPr="00371B75"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w:t>
            </w:r>
          </w:p>
        </w:tc>
        <w:tc>
          <w:tcPr>
            <w:tcW w:w="0" w:type="auto"/>
            <w:hideMark/>
          </w:tcPr>
          <w:p w14:paraId="15697AE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Unemployed &amp; pensioners (for 12 months or longer)</w:t>
            </w:r>
          </w:p>
        </w:tc>
        <w:tc>
          <w:tcPr>
            <w:tcW w:w="856" w:type="pct"/>
            <w:hideMark/>
          </w:tcPr>
          <w:p w14:paraId="0A9CA45F"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w:t>
            </w:r>
          </w:p>
        </w:tc>
      </w:tr>
    </w:tbl>
    <w:p w14:paraId="4A60C8C1" w14:textId="079099B8"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Data recorded in the August census as “unknown” is </w:t>
      </w:r>
      <w:r w:rsidR="000E2834">
        <w:rPr>
          <w:rFonts w:ascii="VIC-Regular" w:eastAsia="Times New Roman" w:hAnsi="VIC-Regular" w:cs="Times New Roman"/>
          <w:color w:val="011A3C"/>
          <w:sz w:val="24"/>
          <w:szCs w:val="24"/>
          <w:lang w:val="en" w:eastAsia="en-AU"/>
        </w:rPr>
        <w:t xml:space="preserve"> allocated to </w:t>
      </w:r>
      <w:r w:rsidRPr="00A463FE">
        <w:rPr>
          <w:rFonts w:ascii="VIC-Regular" w:eastAsia="Times New Roman" w:hAnsi="VIC-Regular" w:cs="Times New Roman"/>
          <w:color w:val="011A3C"/>
          <w:sz w:val="24"/>
          <w:szCs w:val="24"/>
          <w:lang w:val="en" w:eastAsia="en-AU"/>
        </w:rPr>
        <w:t xml:space="preserve">the SFO density </w:t>
      </w:r>
      <w:r w:rsidR="00113120">
        <w:rPr>
          <w:rFonts w:ascii="VIC-Regular" w:eastAsia="Times New Roman" w:hAnsi="VIC-Regular" w:cs="Times New Roman"/>
          <w:color w:val="011A3C"/>
          <w:sz w:val="24"/>
          <w:szCs w:val="24"/>
          <w:lang w:val="en" w:eastAsia="en-AU"/>
        </w:rPr>
        <w:t>category as</w:t>
      </w:r>
      <w:r w:rsidR="00113120" w:rsidRPr="00A463FE">
        <w:rPr>
          <w:rFonts w:ascii="VIC-Regular" w:eastAsia="Times New Roman" w:hAnsi="VIC-Regular" w:cs="Times New Roman"/>
          <w:color w:val="011A3C"/>
          <w:sz w:val="24"/>
          <w:szCs w:val="24"/>
          <w:lang w:val="en" w:eastAsia="en-AU"/>
        </w:rPr>
        <w:t xml:space="preserve"> </w:t>
      </w:r>
      <w:r w:rsidR="00113120">
        <w:rPr>
          <w:rFonts w:ascii="VIC-Regular" w:eastAsia="Times New Roman" w:hAnsi="VIC-Regular" w:cs="Times New Roman"/>
          <w:color w:val="011A3C"/>
          <w:sz w:val="24"/>
          <w:szCs w:val="24"/>
          <w:lang w:val="en" w:eastAsia="en-AU"/>
        </w:rPr>
        <w:t>‘</w:t>
      </w:r>
      <w:r w:rsidRPr="00A463FE">
        <w:rPr>
          <w:rFonts w:ascii="VIC-Regular" w:eastAsia="Times New Roman" w:hAnsi="VIC-Regular" w:cs="Times New Roman"/>
          <w:color w:val="011A3C"/>
          <w:sz w:val="24"/>
          <w:szCs w:val="24"/>
          <w:lang w:val="en" w:eastAsia="en-AU"/>
        </w:rPr>
        <w:t>Occupation Group A</w:t>
      </w:r>
      <w:r w:rsidR="00113120">
        <w:rPr>
          <w:rFonts w:ascii="VIC-Regular" w:eastAsia="Times New Roman" w:hAnsi="VIC-Regular" w:cs="Times New Roman"/>
          <w:color w:val="011A3C"/>
          <w:sz w:val="24"/>
          <w:szCs w:val="24"/>
          <w:lang w:val="en" w:eastAsia="en-AU"/>
        </w:rPr>
        <w:t>’</w:t>
      </w:r>
      <w:r w:rsidRPr="00A463FE">
        <w:rPr>
          <w:rFonts w:ascii="VIC-Regular" w:eastAsia="Times New Roman" w:hAnsi="VIC-Regular" w:cs="Times New Roman"/>
          <w:color w:val="011A3C"/>
          <w:sz w:val="24"/>
          <w:szCs w:val="24"/>
          <w:lang w:val="en" w:eastAsia="en-AU"/>
        </w:rPr>
        <w:t xml:space="preserve"> and attracts a zero weighting.</w:t>
      </w:r>
    </w:p>
    <w:p w14:paraId="7E02673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For detailed categorisation of SFO occupational categories please see link below:</w:t>
      </w:r>
    </w:p>
    <w:p w14:paraId="3D3E46F4" w14:textId="77777777" w:rsidR="00AD16F0" w:rsidRPr="00A463FE" w:rsidRDefault="007E3659"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2" w:history="1">
        <w:r w:rsidR="00AD16F0" w:rsidRPr="00A463FE">
          <w:rPr>
            <w:rFonts w:ascii="VIC-Regular" w:eastAsia="Times New Roman" w:hAnsi="VIC-Regular" w:cs="Times New Roman"/>
            <w:color w:val="011A3C"/>
            <w:sz w:val="24"/>
            <w:szCs w:val="24"/>
            <w:lang w:val="en" w:eastAsia="en-AU"/>
          </w:rPr>
          <w:t>SFO.aspx</w:t>
        </w:r>
      </w:hyperlink>
    </w:p>
    <w:p w14:paraId="1934CB4C" w14:textId="77777777"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SFO, SFO and SFOE index calculation</w:t>
      </w:r>
    </w:p>
    <w:p w14:paraId="1967CF1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SFO index is then calculated using the method below: </w:t>
      </w:r>
      <w:r w:rsidRPr="00A463FE">
        <w:rPr>
          <w:rFonts w:ascii="VIC-Regular" w:eastAsia="Times New Roman" w:hAnsi="VIC-Regular" w:cs="Times New Roman"/>
          <w:color w:val="011A3C"/>
          <w:sz w:val="24"/>
          <w:szCs w:val="24"/>
          <w:lang w:val="en" w:eastAsia="en-AU"/>
        </w:rPr>
        <w:br/>
      </w:r>
      <w:r w:rsidRPr="00A463FE">
        <w:rPr>
          <w:rFonts w:ascii="VIC-Regular" w:eastAsia="Times New Roman" w:hAnsi="VIC-Regular" w:cs="Times New Roman"/>
          <w:color w:val="011A3C"/>
          <w:sz w:val="24"/>
          <w:szCs w:val="24"/>
          <w:lang w:val="en" w:eastAsia="en-AU"/>
        </w:rPr>
        <w:br/>
      </w:r>
      <w:r w:rsidRPr="00A463FE">
        <w:rPr>
          <w:rFonts w:ascii="VIC-Regular" w:eastAsia="Times New Roman" w:hAnsi="VIC-Regular" w:cs="Times New Roman"/>
          <w:b/>
          <w:bCs/>
          <w:color w:val="011A3C"/>
          <w:sz w:val="24"/>
          <w:szCs w:val="24"/>
          <w:lang w:val="en" w:eastAsia="en-AU"/>
        </w:rPr>
        <w:t>SFO calculation =</w:t>
      </w:r>
      <w:r w:rsidRPr="00A463FE">
        <w:rPr>
          <w:rFonts w:ascii="VIC-Regular" w:eastAsia="Times New Roman" w:hAnsi="VIC-Regular" w:cs="Times New Roman"/>
          <w:color w:val="011A3C"/>
          <w:sz w:val="24"/>
          <w:szCs w:val="24"/>
          <w:lang w:val="en" w:eastAsia="en-AU"/>
        </w:rPr>
        <w:t xml:space="preserve"> (number of students x weighting for each occupational category) / total number of students based on the occupational groupings and weightings in Table 2</w:t>
      </w:r>
    </w:p>
    <w:p w14:paraId="3E8187B1"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calculate the SFE index, the parent’s educational qualification is categorised and weighted according to the categories found in Table 3 below. Data regarding educational qualification is collected annually as part of the August census.</w:t>
      </w:r>
    </w:p>
    <w:p w14:paraId="0A3F6A52"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9"/>
        <w:gridCol w:w="5472"/>
        <w:gridCol w:w="1485"/>
      </w:tblGrid>
      <w:tr w:rsidR="00AD16F0" w:rsidRPr="00A463FE" w14:paraId="0FCD0208" w14:textId="77777777" w:rsidTr="00080034">
        <w:trPr>
          <w:tblHeader/>
        </w:trPr>
        <w:tc>
          <w:tcPr>
            <w:tcW w:w="0" w:type="auto"/>
            <w:hideMark/>
          </w:tcPr>
          <w:p w14:paraId="3DDE772C"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CASES21 Code</w:t>
            </w:r>
          </w:p>
        </w:tc>
        <w:tc>
          <w:tcPr>
            <w:tcW w:w="0" w:type="auto"/>
            <w:hideMark/>
          </w:tcPr>
          <w:p w14:paraId="1A8EB358"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Qualification Grouping</w:t>
            </w:r>
          </w:p>
        </w:tc>
        <w:tc>
          <w:tcPr>
            <w:tcW w:w="0" w:type="auto"/>
            <w:hideMark/>
          </w:tcPr>
          <w:p w14:paraId="6F830112"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Weighting</w:t>
            </w:r>
          </w:p>
        </w:tc>
      </w:tr>
      <w:tr w:rsidR="00AD16F0" w:rsidRPr="00A463FE" w14:paraId="71D9A649" w14:textId="77777777" w:rsidTr="00080034">
        <w:tc>
          <w:tcPr>
            <w:tcW w:w="0" w:type="auto"/>
            <w:hideMark/>
          </w:tcPr>
          <w:p w14:paraId="46D3B55D"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w:t>
            </w:r>
          </w:p>
        </w:tc>
        <w:tc>
          <w:tcPr>
            <w:tcW w:w="0" w:type="auto"/>
            <w:hideMark/>
          </w:tcPr>
          <w:p w14:paraId="42E17D10"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Not stated/Unknown</w:t>
            </w:r>
          </w:p>
        </w:tc>
        <w:tc>
          <w:tcPr>
            <w:tcW w:w="0" w:type="auto"/>
            <w:hideMark/>
          </w:tcPr>
          <w:p w14:paraId="5F87A534"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0.00</w:t>
            </w:r>
          </w:p>
        </w:tc>
      </w:tr>
      <w:tr w:rsidR="00AD16F0" w:rsidRPr="00A463FE" w14:paraId="62361FF4" w14:textId="77777777" w:rsidTr="00080034">
        <w:tc>
          <w:tcPr>
            <w:tcW w:w="0" w:type="auto"/>
            <w:hideMark/>
          </w:tcPr>
          <w:p w14:paraId="45CD3C06"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w:t>
            </w:r>
          </w:p>
        </w:tc>
        <w:tc>
          <w:tcPr>
            <w:tcW w:w="0" w:type="auto"/>
            <w:hideMark/>
          </w:tcPr>
          <w:p w14:paraId="6D84959B"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Bachelor degree or above</w:t>
            </w:r>
          </w:p>
        </w:tc>
        <w:tc>
          <w:tcPr>
            <w:tcW w:w="0" w:type="auto"/>
            <w:hideMark/>
          </w:tcPr>
          <w:p w14:paraId="126C5CF0"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0.00</w:t>
            </w:r>
          </w:p>
        </w:tc>
      </w:tr>
      <w:tr w:rsidR="00AD16F0" w:rsidRPr="00A463FE" w14:paraId="61C3873E" w14:textId="77777777" w:rsidTr="00080034">
        <w:tc>
          <w:tcPr>
            <w:tcW w:w="0" w:type="auto"/>
            <w:hideMark/>
          </w:tcPr>
          <w:p w14:paraId="5174B964"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6</w:t>
            </w:r>
          </w:p>
        </w:tc>
        <w:tc>
          <w:tcPr>
            <w:tcW w:w="0" w:type="auto"/>
            <w:hideMark/>
          </w:tcPr>
          <w:p w14:paraId="05F924CC"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Advanced diploma/Diploma</w:t>
            </w:r>
          </w:p>
        </w:tc>
        <w:tc>
          <w:tcPr>
            <w:tcW w:w="0" w:type="auto"/>
            <w:hideMark/>
          </w:tcPr>
          <w:p w14:paraId="42055610"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0.40</w:t>
            </w:r>
          </w:p>
        </w:tc>
      </w:tr>
      <w:tr w:rsidR="00AD16F0" w:rsidRPr="00A463FE" w14:paraId="1947C446" w14:textId="77777777" w:rsidTr="00080034">
        <w:tc>
          <w:tcPr>
            <w:tcW w:w="0" w:type="auto"/>
            <w:hideMark/>
          </w:tcPr>
          <w:p w14:paraId="252830CA"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11E4720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Certificate I to IV (inc. trade certificate)</w:t>
            </w:r>
          </w:p>
        </w:tc>
        <w:tc>
          <w:tcPr>
            <w:tcW w:w="0" w:type="auto"/>
            <w:hideMark/>
          </w:tcPr>
          <w:p w14:paraId="03F641D2"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0.50</w:t>
            </w:r>
          </w:p>
        </w:tc>
      </w:tr>
      <w:tr w:rsidR="00AD16F0" w:rsidRPr="00A463FE" w14:paraId="72867884" w14:textId="77777777" w:rsidTr="00080034">
        <w:tc>
          <w:tcPr>
            <w:tcW w:w="0" w:type="auto"/>
            <w:hideMark/>
          </w:tcPr>
          <w:p w14:paraId="714160A2"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w:t>
            </w:r>
          </w:p>
        </w:tc>
        <w:tc>
          <w:tcPr>
            <w:tcW w:w="0" w:type="auto"/>
            <w:hideMark/>
          </w:tcPr>
          <w:p w14:paraId="74251152"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12 or equivalent</w:t>
            </w:r>
          </w:p>
        </w:tc>
        <w:tc>
          <w:tcPr>
            <w:tcW w:w="0" w:type="auto"/>
            <w:hideMark/>
          </w:tcPr>
          <w:p w14:paraId="4D167B56"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0.40</w:t>
            </w:r>
          </w:p>
        </w:tc>
      </w:tr>
      <w:tr w:rsidR="00AD16F0" w:rsidRPr="00A463FE" w14:paraId="06FAA619" w14:textId="77777777" w:rsidTr="00080034">
        <w:tc>
          <w:tcPr>
            <w:tcW w:w="0" w:type="auto"/>
            <w:hideMark/>
          </w:tcPr>
          <w:p w14:paraId="2BCA5DD6"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0D7E9437"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11 or equivalent</w:t>
            </w:r>
          </w:p>
        </w:tc>
        <w:tc>
          <w:tcPr>
            <w:tcW w:w="0" w:type="auto"/>
            <w:hideMark/>
          </w:tcPr>
          <w:p w14:paraId="4C08C1AB"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0.70</w:t>
            </w:r>
          </w:p>
        </w:tc>
      </w:tr>
      <w:tr w:rsidR="00AD16F0" w:rsidRPr="00A463FE" w14:paraId="4A507812" w14:textId="77777777" w:rsidTr="00080034">
        <w:tc>
          <w:tcPr>
            <w:tcW w:w="0" w:type="auto"/>
            <w:hideMark/>
          </w:tcPr>
          <w:p w14:paraId="58C2D2EA"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45223FF0"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10 or equivalent</w:t>
            </w:r>
          </w:p>
        </w:tc>
        <w:tc>
          <w:tcPr>
            <w:tcW w:w="0" w:type="auto"/>
            <w:hideMark/>
          </w:tcPr>
          <w:p w14:paraId="4DFBA75D"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0.90</w:t>
            </w:r>
          </w:p>
        </w:tc>
      </w:tr>
      <w:tr w:rsidR="00AD16F0" w:rsidRPr="00A463FE" w14:paraId="3FD6984C" w14:textId="77777777" w:rsidTr="00080034">
        <w:tc>
          <w:tcPr>
            <w:tcW w:w="0" w:type="auto"/>
            <w:hideMark/>
          </w:tcPr>
          <w:p w14:paraId="0C1B29DA"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09214579"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9 or equivalent or below</w:t>
            </w:r>
          </w:p>
        </w:tc>
        <w:tc>
          <w:tcPr>
            <w:tcW w:w="0" w:type="auto"/>
            <w:hideMark/>
          </w:tcPr>
          <w:p w14:paraId="5C72EC0D" w14:textId="77777777" w:rsidR="00AD16F0" w:rsidRPr="00371B75"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w:t>
            </w:r>
          </w:p>
        </w:tc>
      </w:tr>
    </w:tbl>
    <w:p w14:paraId="269D72D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NOTE: CASES21 Code 8 is No non-school qualification and defaults to the highest year of school completion.</w:t>
      </w:r>
    </w:p>
    <w:p w14:paraId="014AF2FB"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SFE index is then calculated using the method below: </w:t>
      </w:r>
    </w:p>
    <w:p w14:paraId="335830F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SFE calculation = (number of students x weighting for each educational category) / total number of students</w:t>
      </w:r>
    </w:p>
    <w:p w14:paraId="595C67C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determine the SFOE index with the SFO and SFE indices, the following calculation is used:</w:t>
      </w:r>
    </w:p>
    <w:p w14:paraId="4905102C"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t>SFOE calculation =</w:t>
      </w:r>
      <w:r w:rsidRPr="00A463FE">
        <w:rPr>
          <w:rFonts w:ascii="VIC-Regular" w:eastAsia="Times New Roman" w:hAnsi="VIC-Regular" w:cs="Times New Roman"/>
          <w:color w:val="011A3C"/>
          <w:sz w:val="24"/>
          <w:szCs w:val="24"/>
          <w:lang w:val="en" w:eastAsia="en-AU"/>
        </w:rPr>
        <w:t xml:space="preserve"> (SFO index + SFE index) / 2</w:t>
      </w:r>
    </w:p>
    <w:p w14:paraId="624A3ADA"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Example: If a school has an SFO of 0.6342 and an SFE of 0.6156, the SFOE index would be 0.6249.</w:t>
      </w:r>
    </w:p>
    <w:p w14:paraId="54C0B95A" w14:textId="77777777"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How social disadvantage funding is calculated</w:t>
      </w:r>
    </w:p>
    <w:p w14:paraId="00938AB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Social Disadvantage funding is allocated to schools based on the number of eligible students. Measures are applied to provide more stability in funding while reflecting the need profile of current and more recent student cohorts. A weighted rolling average based on the current year and two years preceding will be used to determine the inputs that Social Disadvantage funding allocations are based on. The weightings are 70 per cent of the current year, 20 per cent of the prior year, and 10 per cent of the year before that will be applied to the campus SFOE index and the number of eligible Level 1 and 2 students.</w:t>
      </w:r>
    </w:p>
    <w:p w14:paraId="373D39DD"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determine how much Social Disadvantage funding a school will receive, the following method is used (weighted accordingly for the current year and the two previous years): </w:t>
      </w:r>
    </w:p>
    <w:p w14:paraId="42E1B3A5" w14:textId="77777777" w:rsidR="00AD16F0" w:rsidRPr="00A463FE" w:rsidRDefault="00AD16F0" w:rsidP="00080034">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The school’s SFOE will be used to calculate the rate of Social Disadvantage loading each student will attract. Where a school’s SFOE is at or below the Minimum SFOE Threshold, the minimum rate of each loading will be applied and, where it is at or above the Maximum SFOE Threshold, each student attracts the Maximum Rate for their loading. (Thresholds and rates can be found in Table 4). </w:t>
      </w:r>
    </w:p>
    <w:p w14:paraId="67B59682" w14:textId="77777777" w:rsidR="00AD16F0" w:rsidRPr="00A463FE" w:rsidRDefault="00AD16F0" w:rsidP="00080034">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For schools with an SFOE between the Minimum SFOE threshold and the Maximum SFOE threshold, the rate will be tapered based on their SFOE index. To determine the taper, the following calculation is used:</w:t>
      </w:r>
    </w:p>
    <w:p w14:paraId="3C5BE3B3"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((Campus' SFOE – Minimum SFOE Threshold) / (Maximum SFOE Threshold-Minimum SFOE Threshold))</w:t>
      </w:r>
    </w:p>
    <w:p w14:paraId="2C3B282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This is then applied to each loading rate by:</w:t>
      </w:r>
    </w:p>
    <w:p w14:paraId="747FA5F2"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Min Funding Rate + (Taper x (Max Funding Rate – Min Funding Rate))</w:t>
      </w:r>
    </w:p>
    <w:p w14:paraId="600E2FF2" w14:textId="77777777" w:rsidR="00AD16F0" w:rsidRPr="00A463FE" w:rsidRDefault="00AD16F0" w:rsidP="00080034">
      <w:pPr>
        <w:numPr>
          <w:ilvl w:val="0"/>
          <w:numId w:val="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Once the Social Disadvantage loading rates are determined for the school, it is multiplied by the number of enrolled students eligible for either the level 1 loading or level 2 loading, respectively. The enrolment is based on the students recorded in the August census of the preceding year.</w:t>
      </w:r>
    </w:p>
    <w:p w14:paraId="1B523AA5" w14:textId="77777777" w:rsidR="00AD16F0" w:rsidRPr="00A463FE" w:rsidRDefault="00AD16F0" w:rsidP="00080034">
      <w:pPr>
        <w:numPr>
          <w:ilvl w:val="0"/>
          <w:numId w:val="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school’s overall Social Disadvantage funding is calculated by combining both the total level 1 and level 2 loadings their students are eligible for. </w:t>
      </w:r>
    </w:p>
    <w:p w14:paraId="3CA09CB7" w14:textId="77777777" w:rsidR="00AD16F0" w:rsidRPr="00A463FE" w:rsidRDefault="00AD16F0" w:rsidP="00080034">
      <w:pPr>
        <w:numPr>
          <w:ilvl w:val="0"/>
          <w:numId w:val="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further reduce negative funding variability, a $90,000 floor on negative funding changes is applied to a school’s Social Disadvantage funding allocation from one year to the next. This means that a school’s Social Disadvantage funding allocation will not reduce by more than $90,000 year on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975"/>
        <w:gridCol w:w="976"/>
        <w:gridCol w:w="976"/>
        <w:gridCol w:w="1169"/>
        <w:gridCol w:w="1169"/>
        <w:gridCol w:w="1169"/>
        <w:gridCol w:w="1169"/>
      </w:tblGrid>
      <w:tr w:rsidR="00AD16F0" w:rsidRPr="00A463FE" w14:paraId="034B5224" w14:textId="77777777" w:rsidTr="00113120">
        <w:trPr>
          <w:tblHeader/>
        </w:trPr>
        <w:tc>
          <w:tcPr>
            <w:tcW w:w="500" w:type="pct"/>
            <w:gridSpan w:val="8"/>
            <w:vAlign w:val="center"/>
            <w:hideMark/>
          </w:tcPr>
          <w:p w14:paraId="78A8EAF9"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Example</w:t>
            </w:r>
            <w:r w:rsidRPr="00371B75">
              <w:rPr>
                <w:rFonts w:ascii="VIC-Bold" w:eastAsia="Times New Roman" w:hAnsi="VIC-Bold" w:cs="Times New Roman"/>
                <w:color w:val="323E4F" w:themeColor="text2" w:themeShade="BF"/>
                <w:sz w:val="24"/>
                <w:szCs w:val="24"/>
                <w:lang w:eastAsia="en-AU"/>
              </w:rPr>
              <w:t xml:space="preserve"> - Social Disadvantage funding for a primary school with the following SFOE and enrolment numbers over three years:</w:t>
            </w:r>
          </w:p>
        </w:tc>
      </w:tr>
      <w:tr w:rsidR="00124D27" w:rsidRPr="00A463FE" w14:paraId="1257E45A" w14:textId="77777777" w:rsidTr="00113120">
        <w:trPr>
          <w:tblHeader/>
        </w:trPr>
        <w:tc>
          <w:tcPr>
            <w:tcW w:w="705" w:type="pct"/>
            <w:hideMark/>
          </w:tcPr>
          <w:p w14:paraId="7B9ACFF8" w14:textId="77777777" w:rsidR="00AD16F0" w:rsidRPr="00371B75" w:rsidRDefault="00AD16F0" w:rsidP="00AD16F0">
            <w:pPr>
              <w:spacing w:after="0" w:line="240" w:lineRule="auto"/>
              <w:rPr>
                <w:rFonts w:ascii="Times New Roman" w:eastAsia="Times New Roman" w:hAnsi="Times New Roman" w:cs="Times New Roman"/>
                <w:color w:val="323E4F" w:themeColor="text2" w:themeShade="BF"/>
                <w:sz w:val="24"/>
                <w:szCs w:val="24"/>
                <w:lang w:eastAsia="en-AU"/>
              </w:rPr>
            </w:pPr>
          </w:p>
        </w:tc>
        <w:tc>
          <w:tcPr>
            <w:tcW w:w="500" w:type="pct"/>
            <w:vAlign w:val="center"/>
            <w:hideMark/>
          </w:tcPr>
          <w:p w14:paraId="7D295354"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2020 Actual</w:t>
            </w:r>
          </w:p>
        </w:tc>
        <w:tc>
          <w:tcPr>
            <w:tcW w:w="500" w:type="pct"/>
            <w:vAlign w:val="center"/>
            <w:hideMark/>
          </w:tcPr>
          <w:p w14:paraId="356EC68F"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2019 Actual</w:t>
            </w:r>
          </w:p>
        </w:tc>
        <w:tc>
          <w:tcPr>
            <w:tcW w:w="500" w:type="pct"/>
            <w:vAlign w:val="center"/>
            <w:hideMark/>
          </w:tcPr>
          <w:p w14:paraId="75C43E54"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2018 Actual</w:t>
            </w:r>
          </w:p>
        </w:tc>
        <w:tc>
          <w:tcPr>
            <w:tcW w:w="500" w:type="pct"/>
            <w:vAlign w:val="center"/>
            <w:hideMark/>
          </w:tcPr>
          <w:p w14:paraId="04980951"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2020 Weighted (70%)</w:t>
            </w:r>
          </w:p>
        </w:tc>
        <w:tc>
          <w:tcPr>
            <w:tcW w:w="500" w:type="pct"/>
            <w:vAlign w:val="center"/>
            <w:hideMark/>
          </w:tcPr>
          <w:p w14:paraId="57AA1203"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2019 Weighted (20%)</w:t>
            </w:r>
          </w:p>
        </w:tc>
        <w:tc>
          <w:tcPr>
            <w:tcW w:w="500" w:type="pct"/>
            <w:vAlign w:val="center"/>
            <w:hideMark/>
          </w:tcPr>
          <w:p w14:paraId="3281CFA9"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2018 Weighted (10%)</w:t>
            </w:r>
          </w:p>
        </w:tc>
        <w:tc>
          <w:tcPr>
            <w:tcW w:w="500" w:type="pct"/>
            <w:vAlign w:val="center"/>
            <w:hideMark/>
          </w:tcPr>
          <w:p w14:paraId="390866AE"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Weighted Average</w:t>
            </w:r>
          </w:p>
        </w:tc>
      </w:tr>
      <w:tr w:rsidR="00124D27" w:rsidRPr="00A463FE" w14:paraId="674B9DF9" w14:textId="77777777" w:rsidTr="00113120">
        <w:tc>
          <w:tcPr>
            <w:tcW w:w="705" w:type="pct"/>
            <w:hideMark/>
          </w:tcPr>
          <w:p w14:paraId="50DFFA94"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SFOE</w:t>
            </w:r>
          </w:p>
        </w:tc>
        <w:tc>
          <w:tcPr>
            <w:tcW w:w="500" w:type="pct"/>
            <w:vAlign w:val="center"/>
            <w:hideMark/>
          </w:tcPr>
          <w:p w14:paraId="3B9CEE3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0.6021</w:t>
            </w:r>
          </w:p>
        </w:tc>
        <w:tc>
          <w:tcPr>
            <w:tcW w:w="500" w:type="pct"/>
            <w:vAlign w:val="center"/>
            <w:hideMark/>
          </w:tcPr>
          <w:p w14:paraId="0E6B5D6B"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0.5313</w:t>
            </w:r>
          </w:p>
        </w:tc>
        <w:tc>
          <w:tcPr>
            <w:tcW w:w="500" w:type="pct"/>
            <w:vAlign w:val="center"/>
            <w:hideMark/>
          </w:tcPr>
          <w:p w14:paraId="47EB9681"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0.5189</w:t>
            </w:r>
          </w:p>
        </w:tc>
        <w:tc>
          <w:tcPr>
            <w:tcW w:w="500" w:type="pct"/>
            <w:vAlign w:val="center"/>
            <w:hideMark/>
          </w:tcPr>
          <w:p w14:paraId="33F9BB64"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0.4215</w:t>
            </w:r>
          </w:p>
        </w:tc>
        <w:tc>
          <w:tcPr>
            <w:tcW w:w="500" w:type="pct"/>
            <w:vAlign w:val="center"/>
            <w:hideMark/>
          </w:tcPr>
          <w:p w14:paraId="0E96ADB8"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0.1063</w:t>
            </w:r>
          </w:p>
        </w:tc>
        <w:tc>
          <w:tcPr>
            <w:tcW w:w="500" w:type="pct"/>
            <w:vAlign w:val="center"/>
            <w:hideMark/>
          </w:tcPr>
          <w:p w14:paraId="45931CC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0.0519</w:t>
            </w:r>
          </w:p>
        </w:tc>
        <w:tc>
          <w:tcPr>
            <w:tcW w:w="500" w:type="pct"/>
            <w:vAlign w:val="center"/>
            <w:hideMark/>
          </w:tcPr>
          <w:p w14:paraId="37C3A2DC"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0.5797</w:t>
            </w:r>
          </w:p>
        </w:tc>
      </w:tr>
      <w:tr w:rsidR="00124D27" w:rsidRPr="00A463FE" w14:paraId="5AD3BADF" w14:textId="77777777" w:rsidTr="00113120">
        <w:tc>
          <w:tcPr>
            <w:tcW w:w="705" w:type="pct"/>
            <w:hideMark/>
          </w:tcPr>
          <w:p w14:paraId="5AF8414E"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1</w:t>
            </w:r>
          </w:p>
        </w:tc>
        <w:tc>
          <w:tcPr>
            <w:tcW w:w="500" w:type="pct"/>
            <w:vAlign w:val="center"/>
            <w:hideMark/>
          </w:tcPr>
          <w:p w14:paraId="00EE441A"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166</w:t>
            </w:r>
          </w:p>
        </w:tc>
        <w:tc>
          <w:tcPr>
            <w:tcW w:w="500" w:type="pct"/>
            <w:vAlign w:val="center"/>
            <w:hideMark/>
          </w:tcPr>
          <w:p w14:paraId="4FB74919"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174</w:t>
            </w:r>
          </w:p>
        </w:tc>
        <w:tc>
          <w:tcPr>
            <w:tcW w:w="500" w:type="pct"/>
            <w:vAlign w:val="center"/>
            <w:hideMark/>
          </w:tcPr>
          <w:p w14:paraId="457C3201"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160</w:t>
            </w:r>
          </w:p>
        </w:tc>
        <w:tc>
          <w:tcPr>
            <w:tcW w:w="500" w:type="pct"/>
            <w:vAlign w:val="center"/>
            <w:hideMark/>
          </w:tcPr>
          <w:p w14:paraId="4897213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116.2</w:t>
            </w:r>
          </w:p>
        </w:tc>
        <w:tc>
          <w:tcPr>
            <w:tcW w:w="500" w:type="pct"/>
            <w:vAlign w:val="center"/>
            <w:hideMark/>
          </w:tcPr>
          <w:p w14:paraId="68E1EE14"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34.8</w:t>
            </w:r>
          </w:p>
        </w:tc>
        <w:tc>
          <w:tcPr>
            <w:tcW w:w="500" w:type="pct"/>
            <w:vAlign w:val="center"/>
            <w:hideMark/>
          </w:tcPr>
          <w:p w14:paraId="3E7770D3"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w:t>
            </w:r>
          </w:p>
        </w:tc>
        <w:tc>
          <w:tcPr>
            <w:tcW w:w="500" w:type="pct"/>
            <w:vAlign w:val="center"/>
            <w:hideMark/>
          </w:tcPr>
          <w:p w14:paraId="0730164A"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167</w:t>
            </w:r>
          </w:p>
        </w:tc>
      </w:tr>
      <w:tr w:rsidR="00124D27" w:rsidRPr="00A463FE" w14:paraId="6CE60405" w14:textId="77777777" w:rsidTr="00113120">
        <w:tc>
          <w:tcPr>
            <w:tcW w:w="705" w:type="pct"/>
            <w:hideMark/>
          </w:tcPr>
          <w:p w14:paraId="07B4DA60"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2</w:t>
            </w:r>
          </w:p>
        </w:tc>
        <w:tc>
          <w:tcPr>
            <w:tcW w:w="500" w:type="pct"/>
            <w:vAlign w:val="center"/>
            <w:hideMark/>
          </w:tcPr>
          <w:p w14:paraId="402A54CA"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w:t>
            </w:r>
          </w:p>
        </w:tc>
        <w:tc>
          <w:tcPr>
            <w:tcW w:w="500" w:type="pct"/>
            <w:vAlign w:val="center"/>
            <w:hideMark/>
          </w:tcPr>
          <w:p w14:paraId="3303A0E6"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140</w:t>
            </w:r>
          </w:p>
        </w:tc>
        <w:tc>
          <w:tcPr>
            <w:tcW w:w="500" w:type="pct"/>
            <w:vAlign w:val="center"/>
            <w:hideMark/>
          </w:tcPr>
          <w:p w14:paraId="2D407764"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1D30F705"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82.6</w:t>
            </w:r>
          </w:p>
        </w:tc>
        <w:tc>
          <w:tcPr>
            <w:tcW w:w="500" w:type="pct"/>
            <w:vAlign w:val="center"/>
            <w:hideMark/>
          </w:tcPr>
          <w:p w14:paraId="7A813D6D"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w:t>
            </w:r>
          </w:p>
        </w:tc>
        <w:tc>
          <w:tcPr>
            <w:tcW w:w="500" w:type="pct"/>
            <w:vAlign w:val="center"/>
            <w:hideMark/>
          </w:tcPr>
          <w:p w14:paraId="4B1E6ACB"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68F3D2AC" w14:textId="77777777" w:rsidR="00AD16F0" w:rsidRPr="00371B75"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125</w:t>
            </w:r>
          </w:p>
        </w:tc>
      </w:tr>
    </w:tbl>
    <w:p w14:paraId="4F353777" w14:textId="2B105FA5" w:rsidR="00AD16F0" w:rsidRPr="00080034" w:rsidRDefault="00AD16F0" w:rsidP="00AD16F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080034">
        <w:rPr>
          <w:rFonts w:ascii="VIC-Regular" w:eastAsia="Times New Roman" w:hAnsi="VIC-Regular" w:cs="Times New Roman"/>
          <w:b/>
          <w:bCs/>
          <w:color w:val="011A3C"/>
          <w:sz w:val="24"/>
          <w:szCs w:val="24"/>
          <w:lang w:val="en" w:eastAsia="en-AU"/>
        </w:rPr>
        <w:lastRenderedPageBreak/>
        <w:t xml:space="preserve">Example of Loading calculations </w:t>
      </w:r>
      <w:r w:rsidR="00E70DB3">
        <w:rPr>
          <w:rFonts w:ascii="VIC-Regular" w:eastAsia="Times New Roman" w:hAnsi="VIC-Regular" w:cs="Times New Roman"/>
          <w:b/>
          <w:bCs/>
          <w:color w:val="011A3C"/>
          <w:sz w:val="24"/>
          <w:szCs w:val="24"/>
          <w:lang w:val="en" w:eastAsia="en-AU"/>
        </w:rPr>
        <w:t xml:space="preserve"> for a primary school </w:t>
      </w:r>
      <w:r w:rsidRPr="00080034">
        <w:rPr>
          <w:rFonts w:ascii="VIC-Regular" w:eastAsia="Times New Roman" w:hAnsi="VIC-Regular" w:cs="Times New Roman"/>
          <w:b/>
          <w:bCs/>
          <w:color w:val="011A3C"/>
          <w:sz w:val="24"/>
          <w:szCs w:val="24"/>
          <w:lang w:val="en" w:eastAsia="en-AU"/>
        </w:rPr>
        <w:t>(excluding the floor):</w:t>
      </w:r>
    </w:p>
    <w:p w14:paraId="479DAF9D" w14:textId="6788527C"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w:t>
      </w:r>
      <w:bookmarkStart w:id="18" w:name="_Hlk50714244"/>
      <w:bookmarkStart w:id="19" w:name="_Hlk50720787"/>
      <w:r w:rsidRPr="00A463FE">
        <w:rPr>
          <w:rFonts w:ascii="VIC-Regular" w:eastAsia="Times New Roman" w:hAnsi="VIC-Regular" w:cs="Times New Roman"/>
          <w:color w:val="011A3C"/>
          <w:sz w:val="24"/>
          <w:szCs w:val="24"/>
          <w:lang w:val="en" w:eastAsia="en-AU"/>
        </w:rPr>
        <w:t>Level 1 student: ($</w:t>
      </w:r>
      <w:r w:rsidR="00276061">
        <w:rPr>
          <w:rFonts w:ascii="VIC-Regular" w:eastAsia="Times New Roman" w:hAnsi="VIC-Regular" w:cs="Times New Roman"/>
          <w:color w:val="011A3C"/>
          <w:sz w:val="24"/>
          <w:szCs w:val="24"/>
          <w:lang w:val="en" w:eastAsia="en-AU"/>
        </w:rPr>
        <w:t>968</w:t>
      </w:r>
      <w:r w:rsidRPr="00A463FE">
        <w:rPr>
          <w:rFonts w:ascii="VIC-Regular" w:eastAsia="Times New Roman" w:hAnsi="VIC-Regular" w:cs="Times New Roman"/>
          <w:color w:val="011A3C"/>
          <w:sz w:val="24"/>
          <w:szCs w:val="24"/>
          <w:lang w:val="en" w:eastAsia="en-AU"/>
        </w:rPr>
        <w:t xml:space="preserve"> + ((0.5797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(0.6192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w:t>
      </w:r>
      <w:r w:rsidR="00276061">
        <w:rPr>
          <w:rFonts w:ascii="VIC-Regular" w:eastAsia="Times New Roman" w:hAnsi="VIC-Regular" w:cs="Times New Roman"/>
          <w:color w:val="011A3C"/>
          <w:sz w:val="24"/>
          <w:szCs w:val="24"/>
          <w:lang w:val="en" w:eastAsia="en-AU"/>
        </w:rPr>
        <w:t>5241</w:t>
      </w:r>
      <w:r w:rsidRPr="00A463FE">
        <w:rPr>
          <w:rFonts w:ascii="VIC-Regular" w:eastAsia="Times New Roman" w:hAnsi="VIC-Regular" w:cs="Times New Roman"/>
          <w:color w:val="011A3C"/>
          <w:sz w:val="24"/>
          <w:szCs w:val="24"/>
          <w:lang w:val="en" w:eastAsia="en-AU"/>
        </w:rPr>
        <w:t xml:space="preserve"> – $</w:t>
      </w:r>
      <w:r w:rsidR="00276061">
        <w:rPr>
          <w:rFonts w:ascii="VIC-Regular" w:eastAsia="Times New Roman" w:hAnsi="VIC-Regular" w:cs="Times New Roman"/>
          <w:color w:val="011A3C"/>
          <w:sz w:val="24"/>
          <w:szCs w:val="24"/>
          <w:lang w:val="en" w:eastAsia="en-AU"/>
        </w:rPr>
        <w:t>968</w:t>
      </w:r>
      <w:r w:rsidRPr="00A463FE">
        <w:rPr>
          <w:rFonts w:ascii="VIC-Regular" w:eastAsia="Times New Roman" w:hAnsi="VIC-Regular" w:cs="Times New Roman"/>
          <w:color w:val="011A3C"/>
          <w:sz w:val="24"/>
          <w:szCs w:val="24"/>
          <w:lang w:val="en" w:eastAsia="en-AU"/>
        </w:rPr>
        <w:t>)) * 167 enrolment = </w:t>
      </w:r>
      <w:r w:rsidR="00E70DB3">
        <w:rPr>
          <w:rFonts w:ascii="VIC-Regular" w:eastAsia="Times New Roman" w:hAnsi="VIC-Regular" w:cs="Times New Roman"/>
          <w:color w:val="011A3C"/>
          <w:sz w:val="24"/>
          <w:szCs w:val="24"/>
          <w:lang w:val="en" w:eastAsia="en-AU"/>
        </w:rPr>
        <w:t xml:space="preserve"> </w:t>
      </w:r>
      <w:r w:rsidR="002F13F4" w:rsidRPr="002F13F4">
        <w:rPr>
          <w:rFonts w:ascii="VIC-Regular" w:eastAsia="Times New Roman" w:hAnsi="VIC-Regular" w:cs="Times New Roman"/>
          <w:color w:val="011A3C"/>
          <w:sz w:val="24"/>
          <w:szCs w:val="24"/>
          <w:lang w:val="en" w:eastAsia="en-AU"/>
        </w:rPr>
        <w:t>$765,99</w:t>
      </w:r>
      <w:r w:rsidR="002F13F4">
        <w:rPr>
          <w:rFonts w:ascii="VIC-Regular" w:eastAsia="Times New Roman" w:hAnsi="VIC-Regular" w:cs="Times New Roman"/>
          <w:color w:val="011A3C"/>
          <w:sz w:val="24"/>
          <w:szCs w:val="24"/>
          <w:lang w:val="en" w:eastAsia="en-AU"/>
        </w:rPr>
        <w:t>6</w:t>
      </w:r>
    </w:p>
    <w:p w14:paraId="1EFED2ED" w14:textId="77777777" w:rsidR="00A12061" w:rsidRDefault="00AD16F0" w:rsidP="00AD16F0">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Level 2 student: ($4</w:t>
      </w:r>
      <w:r w:rsidR="00276061">
        <w:rPr>
          <w:rFonts w:ascii="VIC-Regular" w:eastAsia="Times New Roman" w:hAnsi="VIC-Regular" w:cs="Times New Roman"/>
          <w:color w:val="011A3C"/>
          <w:sz w:val="24"/>
          <w:szCs w:val="24"/>
          <w:lang w:val="en" w:eastAsia="en-AU"/>
        </w:rPr>
        <w:t>84</w:t>
      </w:r>
      <w:r w:rsidRPr="00A463FE">
        <w:rPr>
          <w:rFonts w:ascii="VIC-Regular" w:eastAsia="Times New Roman" w:hAnsi="VIC-Regular" w:cs="Times New Roman"/>
          <w:color w:val="011A3C"/>
          <w:sz w:val="24"/>
          <w:szCs w:val="24"/>
          <w:lang w:val="en" w:eastAsia="en-AU"/>
        </w:rPr>
        <w:t xml:space="preserve"> + ((0.5797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(0.6192 – 0.36</w:t>
      </w:r>
      <w:r w:rsidR="00276061">
        <w:rPr>
          <w:rFonts w:ascii="VIC-Regular" w:eastAsia="Times New Roman" w:hAnsi="VIC-Regular" w:cs="Times New Roman"/>
          <w:color w:val="011A3C"/>
          <w:sz w:val="24"/>
          <w:szCs w:val="24"/>
          <w:lang w:val="en" w:eastAsia="en-AU"/>
        </w:rPr>
        <w:t>12</w:t>
      </w:r>
      <w:r w:rsidRPr="00A463FE">
        <w:rPr>
          <w:rFonts w:ascii="VIC-Regular" w:eastAsia="Times New Roman" w:hAnsi="VIC-Regular" w:cs="Times New Roman"/>
          <w:color w:val="011A3C"/>
          <w:sz w:val="24"/>
          <w:szCs w:val="24"/>
          <w:lang w:val="en" w:eastAsia="en-AU"/>
        </w:rPr>
        <w:t>)) * ($</w:t>
      </w:r>
      <w:r w:rsidR="00276061">
        <w:rPr>
          <w:rFonts w:ascii="VIC-Regular" w:eastAsia="Times New Roman" w:hAnsi="VIC-Regular" w:cs="Times New Roman"/>
          <w:color w:val="011A3C"/>
          <w:sz w:val="24"/>
          <w:szCs w:val="24"/>
          <w:lang w:val="en" w:eastAsia="en-AU"/>
        </w:rPr>
        <w:t>2622</w:t>
      </w:r>
      <w:r w:rsidRPr="00A463FE">
        <w:rPr>
          <w:rFonts w:ascii="VIC-Regular" w:eastAsia="Times New Roman" w:hAnsi="VIC-Regular" w:cs="Times New Roman"/>
          <w:color w:val="011A3C"/>
          <w:sz w:val="24"/>
          <w:szCs w:val="24"/>
          <w:lang w:val="en" w:eastAsia="en-AU"/>
        </w:rPr>
        <w:t>– $4</w:t>
      </w:r>
      <w:r w:rsidR="00276061">
        <w:rPr>
          <w:rFonts w:ascii="VIC-Regular" w:eastAsia="Times New Roman" w:hAnsi="VIC-Regular" w:cs="Times New Roman"/>
          <w:color w:val="011A3C"/>
          <w:sz w:val="24"/>
          <w:szCs w:val="24"/>
          <w:lang w:val="en" w:eastAsia="en-AU"/>
        </w:rPr>
        <w:t>84</w:t>
      </w:r>
      <w:r w:rsidRPr="00A463FE">
        <w:rPr>
          <w:rFonts w:ascii="VIC-Regular" w:eastAsia="Times New Roman" w:hAnsi="VIC-Regular" w:cs="Times New Roman"/>
          <w:color w:val="011A3C"/>
          <w:sz w:val="24"/>
          <w:szCs w:val="24"/>
          <w:lang w:val="en" w:eastAsia="en-AU"/>
        </w:rPr>
        <w:t>)) * 125 enrolment = </w:t>
      </w:r>
      <w:r w:rsidR="00E70DB3">
        <w:rPr>
          <w:rFonts w:ascii="VIC-Regular" w:eastAsia="Times New Roman" w:hAnsi="VIC-Regular" w:cs="Times New Roman"/>
          <w:color w:val="011A3C"/>
          <w:sz w:val="24"/>
          <w:szCs w:val="24"/>
          <w:lang w:val="en" w:eastAsia="en-AU"/>
        </w:rPr>
        <w:t xml:space="preserve"> </w:t>
      </w:r>
      <w:r w:rsidR="002F13F4" w:rsidRPr="002F13F4">
        <w:rPr>
          <w:rFonts w:ascii="VIC-Regular" w:eastAsia="Times New Roman" w:hAnsi="VIC-Regular" w:cs="Times New Roman"/>
          <w:color w:val="011A3C"/>
          <w:sz w:val="24"/>
          <w:szCs w:val="24"/>
          <w:lang w:val="en" w:eastAsia="en-AU"/>
        </w:rPr>
        <w:t>$286,83</w:t>
      </w:r>
      <w:r w:rsidR="002F13F4">
        <w:rPr>
          <w:rFonts w:ascii="VIC-Regular" w:eastAsia="Times New Roman" w:hAnsi="VIC-Regular" w:cs="Times New Roman"/>
          <w:color w:val="011A3C"/>
          <w:sz w:val="24"/>
          <w:szCs w:val="24"/>
          <w:lang w:val="en" w:eastAsia="en-AU"/>
        </w:rPr>
        <w:t>4</w:t>
      </w:r>
      <w:bookmarkEnd w:id="18"/>
      <w:r w:rsidRPr="00A463FE">
        <w:rPr>
          <w:rFonts w:ascii="VIC-Regular" w:eastAsia="Times New Roman" w:hAnsi="VIC-Regular" w:cs="Times New Roman"/>
          <w:color w:val="011A3C"/>
          <w:sz w:val="24"/>
          <w:szCs w:val="24"/>
          <w:lang w:val="en" w:eastAsia="en-AU"/>
        </w:rPr>
        <w:t xml:space="preserve">• Total Social Disadvantage funding: </w:t>
      </w:r>
      <w:r w:rsidR="00E70DB3" w:rsidRPr="00E70DB3">
        <w:rPr>
          <w:rFonts w:ascii="VIC-Regular" w:eastAsia="Times New Roman" w:hAnsi="VIC-Regular" w:cs="Times New Roman"/>
          <w:color w:val="011A3C"/>
          <w:sz w:val="24"/>
          <w:szCs w:val="24"/>
          <w:lang w:val="en" w:eastAsia="en-AU"/>
        </w:rPr>
        <w:t>$</w:t>
      </w:r>
      <w:r w:rsidR="007106F7">
        <w:rPr>
          <w:rFonts w:ascii="VIC-Regular" w:eastAsia="Times New Roman" w:hAnsi="VIC-Regular" w:cs="Times New Roman"/>
          <w:color w:val="011A3C"/>
          <w:sz w:val="24"/>
          <w:szCs w:val="24"/>
          <w:lang w:val="en" w:eastAsia="en-AU"/>
        </w:rPr>
        <w:t>765,996</w:t>
      </w:r>
      <w:r w:rsidR="00E70DB3">
        <w:rPr>
          <w:rFonts w:ascii="VIC-Regular" w:eastAsia="Times New Roman" w:hAnsi="VIC-Regular" w:cs="Times New Roman"/>
          <w:color w:val="011A3C"/>
          <w:sz w:val="24"/>
          <w:szCs w:val="24"/>
          <w:lang w:val="en" w:eastAsia="en-AU"/>
        </w:rPr>
        <w:t xml:space="preserve"> </w:t>
      </w:r>
      <w:r w:rsidRPr="00A463FE">
        <w:rPr>
          <w:rFonts w:ascii="VIC-Regular" w:eastAsia="Times New Roman" w:hAnsi="VIC-Regular" w:cs="Times New Roman"/>
          <w:color w:val="011A3C"/>
          <w:sz w:val="24"/>
          <w:szCs w:val="24"/>
          <w:lang w:val="en" w:eastAsia="en-AU"/>
        </w:rPr>
        <w:t xml:space="preserve">+ </w:t>
      </w:r>
      <w:r w:rsidR="00E70DB3" w:rsidRPr="00E70DB3">
        <w:rPr>
          <w:rFonts w:ascii="VIC-Regular" w:eastAsia="Times New Roman" w:hAnsi="VIC-Regular" w:cs="Times New Roman"/>
          <w:color w:val="011A3C"/>
          <w:sz w:val="24"/>
          <w:szCs w:val="24"/>
          <w:lang w:val="en" w:eastAsia="en-AU"/>
        </w:rPr>
        <w:t>$</w:t>
      </w:r>
      <w:r w:rsidR="007106F7">
        <w:rPr>
          <w:rFonts w:ascii="VIC-Regular" w:eastAsia="Times New Roman" w:hAnsi="VIC-Regular" w:cs="Times New Roman"/>
          <w:color w:val="011A3C"/>
          <w:sz w:val="24"/>
          <w:szCs w:val="24"/>
          <w:lang w:val="en" w:eastAsia="en-AU"/>
        </w:rPr>
        <w:t>286,834</w:t>
      </w:r>
      <w:r w:rsidR="00E70DB3">
        <w:rPr>
          <w:rFonts w:ascii="VIC-Regular" w:eastAsia="Times New Roman" w:hAnsi="VIC-Regular" w:cs="Times New Roman"/>
          <w:color w:val="011A3C"/>
          <w:sz w:val="24"/>
          <w:szCs w:val="24"/>
          <w:lang w:val="en" w:eastAsia="en-AU"/>
        </w:rPr>
        <w:t xml:space="preserve"> </w:t>
      </w:r>
      <w:r w:rsidRPr="00A463FE">
        <w:rPr>
          <w:rFonts w:ascii="VIC-Regular" w:eastAsia="Times New Roman" w:hAnsi="VIC-Regular" w:cs="Times New Roman"/>
          <w:color w:val="011A3C"/>
          <w:sz w:val="24"/>
          <w:szCs w:val="24"/>
          <w:lang w:val="en" w:eastAsia="en-AU"/>
        </w:rPr>
        <w:t xml:space="preserve">= </w:t>
      </w:r>
      <w:r w:rsidR="00E70DB3">
        <w:rPr>
          <w:rFonts w:ascii="VIC-Regular" w:eastAsia="Times New Roman" w:hAnsi="VIC-Regular" w:cs="Times New Roman"/>
          <w:color w:val="011A3C"/>
          <w:sz w:val="24"/>
          <w:szCs w:val="24"/>
          <w:lang w:val="en" w:eastAsia="en-AU"/>
        </w:rPr>
        <w:t xml:space="preserve"> </w:t>
      </w:r>
      <w:r w:rsidR="002F13F4" w:rsidRPr="002F13F4">
        <w:rPr>
          <w:rFonts w:ascii="VIC-Regular" w:eastAsia="Times New Roman" w:hAnsi="VIC-Regular" w:cs="Times New Roman"/>
          <w:color w:val="011A3C"/>
          <w:sz w:val="24"/>
          <w:szCs w:val="24"/>
          <w:lang w:val="en" w:eastAsia="en-AU"/>
        </w:rPr>
        <w:t>$1,052,8</w:t>
      </w:r>
      <w:r w:rsidR="007106F7">
        <w:rPr>
          <w:rFonts w:ascii="VIC-Regular" w:eastAsia="Times New Roman" w:hAnsi="VIC-Regular" w:cs="Times New Roman"/>
          <w:color w:val="011A3C"/>
          <w:sz w:val="24"/>
          <w:szCs w:val="24"/>
          <w:lang w:val="en" w:eastAsia="en-AU"/>
        </w:rPr>
        <w:t>30</w:t>
      </w:r>
      <w:bookmarkEnd w:id="19"/>
    </w:p>
    <w:p w14:paraId="6204CCF4" w14:textId="553CF7E4"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1"/>
        <w:gridCol w:w="1213"/>
        <w:gridCol w:w="1301"/>
        <w:gridCol w:w="1241"/>
        <w:gridCol w:w="1322"/>
        <w:gridCol w:w="1243"/>
        <w:gridCol w:w="1325"/>
      </w:tblGrid>
      <w:tr w:rsidR="00AD16F0" w:rsidRPr="00A463FE" w14:paraId="65190952" w14:textId="77777777" w:rsidTr="00080034">
        <w:trPr>
          <w:tblHeader/>
        </w:trPr>
        <w:tc>
          <w:tcPr>
            <w:tcW w:w="705" w:type="pct"/>
            <w:hideMark/>
          </w:tcPr>
          <w:p w14:paraId="6D37A6B2" w14:textId="77777777" w:rsidR="00AD16F0" w:rsidRPr="00371B75" w:rsidRDefault="00AD16F0" w:rsidP="00AD16F0">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581" w:type="pct"/>
            <w:hideMark/>
          </w:tcPr>
          <w:p w14:paraId="0B02F6C0"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Minimum SFOE Threshold</w:t>
            </w:r>
          </w:p>
        </w:tc>
        <w:tc>
          <w:tcPr>
            <w:tcW w:w="0" w:type="auto"/>
            <w:hideMark/>
          </w:tcPr>
          <w:p w14:paraId="0BC0CF70"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Maximum SFOE Threshold</w:t>
            </w:r>
          </w:p>
        </w:tc>
        <w:tc>
          <w:tcPr>
            <w:tcW w:w="0" w:type="auto"/>
            <w:hideMark/>
          </w:tcPr>
          <w:p w14:paraId="7EE2AB30"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1 Student Minimum Rate</w:t>
            </w:r>
          </w:p>
        </w:tc>
        <w:tc>
          <w:tcPr>
            <w:tcW w:w="0" w:type="auto"/>
            <w:hideMark/>
          </w:tcPr>
          <w:p w14:paraId="58CE56C8"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1 Student Maximum Rate</w:t>
            </w:r>
          </w:p>
        </w:tc>
        <w:tc>
          <w:tcPr>
            <w:tcW w:w="0" w:type="auto"/>
            <w:hideMark/>
          </w:tcPr>
          <w:p w14:paraId="7EE42AB7"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2 Student Minimum Rate</w:t>
            </w:r>
          </w:p>
        </w:tc>
        <w:tc>
          <w:tcPr>
            <w:tcW w:w="0" w:type="auto"/>
            <w:hideMark/>
          </w:tcPr>
          <w:p w14:paraId="1247BC8C"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Level 2 Student Maximum Rate</w:t>
            </w:r>
          </w:p>
        </w:tc>
      </w:tr>
      <w:tr w:rsidR="00AD16F0" w:rsidRPr="00A463FE" w14:paraId="10724C14" w14:textId="77777777" w:rsidTr="00080034">
        <w:tc>
          <w:tcPr>
            <w:tcW w:w="705" w:type="pct"/>
            <w:hideMark/>
          </w:tcPr>
          <w:p w14:paraId="0C876D0D"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Primary</w:t>
            </w:r>
          </w:p>
        </w:tc>
        <w:tc>
          <w:tcPr>
            <w:tcW w:w="581" w:type="pct"/>
            <w:hideMark/>
          </w:tcPr>
          <w:p w14:paraId="426F5288" w14:textId="06ED6A45"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0.3612</w:t>
            </w:r>
          </w:p>
        </w:tc>
        <w:tc>
          <w:tcPr>
            <w:tcW w:w="0" w:type="auto"/>
            <w:hideMark/>
          </w:tcPr>
          <w:p w14:paraId="43BDF7D5"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0.6192</w:t>
            </w:r>
          </w:p>
        </w:tc>
        <w:tc>
          <w:tcPr>
            <w:tcW w:w="0" w:type="auto"/>
            <w:hideMark/>
          </w:tcPr>
          <w:p w14:paraId="69D98AB5" w14:textId="5D128D11"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$968</w:t>
            </w:r>
          </w:p>
        </w:tc>
        <w:tc>
          <w:tcPr>
            <w:tcW w:w="0" w:type="auto"/>
            <w:hideMark/>
          </w:tcPr>
          <w:p w14:paraId="59AB23E9" w14:textId="2BBAA144"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5,241</w:t>
            </w:r>
          </w:p>
        </w:tc>
        <w:tc>
          <w:tcPr>
            <w:tcW w:w="0" w:type="auto"/>
            <w:hideMark/>
          </w:tcPr>
          <w:p w14:paraId="158D798A" w14:textId="31C96A3F"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$484</w:t>
            </w:r>
          </w:p>
        </w:tc>
        <w:tc>
          <w:tcPr>
            <w:tcW w:w="0" w:type="auto"/>
            <w:hideMark/>
          </w:tcPr>
          <w:p w14:paraId="6F7C5914" w14:textId="005281D7" w:rsidR="00AD16F0" w:rsidRPr="00371B75" w:rsidRDefault="00337C31"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$2,622</w:t>
            </w:r>
          </w:p>
        </w:tc>
      </w:tr>
      <w:tr w:rsidR="00AD16F0" w:rsidRPr="00A463FE" w14:paraId="455A4776" w14:textId="77777777" w:rsidTr="00080034">
        <w:tc>
          <w:tcPr>
            <w:tcW w:w="705" w:type="pct"/>
            <w:hideMark/>
          </w:tcPr>
          <w:p w14:paraId="0BDD5FD4"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Secondary</w:t>
            </w:r>
          </w:p>
        </w:tc>
        <w:tc>
          <w:tcPr>
            <w:tcW w:w="581" w:type="pct"/>
            <w:hideMark/>
          </w:tcPr>
          <w:p w14:paraId="46B20335" w14:textId="204ADCC3"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0.3612</w:t>
            </w:r>
          </w:p>
        </w:tc>
        <w:tc>
          <w:tcPr>
            <w:tcW w:w="0" w:type="auto"/>
            <w:hideMark/>
          </w:tcPr>
          <w:p w14:paraId="3631F520"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0.6192</w:t>
            </w:r>
          </w:p>
        </w:tc>
        <w:tc>
          <w:tcPr>
            <w:tcW w:w="0" w:type="auto"/>
            <w:hideMark/>
          </w:tcPr>
          <w:p w14:paraId="3595A38B" w14:textId="7303FA08"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$862</w:t>
            </w:r>
          </w:p>
        </w:tc>
        <w:tc>
          <w:tcPr>
            <w:tcW w:w="0" w:type="auto"/>
            <w:hideMark/>
          </w:tcPr>
          <w:p w14:paraId="48AFD9F2" w14:textId="7A9BF2E6"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$4,653</w:t>
            </w:r>
          </w:p>
        </w:tc>
        <w:tc>
          <w:tcPr>
            <w:tcW w:w="0" w:type="auto"/>
            <w:hideMark/>
          </w:tcPr>
          <w:p w14:paraId="1D48F993" w14:textId="4BC25445"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$432</w:t>
            </w:r>
          </w:p>
        </w:tc>
        <w:tc>
          <w:tcPr>
            <w:tcW w:w="0" w:type="auto"/>
            <w:hideMark/>
          </w:tcPr>
          <w:p w14:paraId="139B3C05" w14:textId="7927B880"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$2,326</w:t>
            </w:r>
          </w:p>
        </w:tc>
      </w:tr>
      <w:tr w:rsidR="00AD16F0" w:rsidRPr="00A463FE" w14:paraId="151B1C73" w14:textId="77777777" w:rsidTr="00080034">
        <w:tc>
          <w:tcPr>
            <w:tcW w:w="705" w:type="pct"/>
            <w:hideMark/>
          </w:tcPr>
          <w:p w14:paraId="337443D3"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Special</w:t>
            </w:r>
          </w:p>
        </w:tc>
        <w:tc>
          <w:tcPr>
            <w:tcW w:w="581" w:type="pct"/>
            <w:hideMark/>
          </w:tcPr>
          <w:p w14:paraId="0E5AB3D9" w14:textId="03DDF3C0" w:rsidR="00AD16F0" w:rsidRPr="00371B75" w:rsidRDefault="00276061"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0.5040</w:t>
            </w:r>
          </w:p>
        </w:tc>
        <w:tc>
          <w:tcPr>
            <w:tcW w:w="0" w:type="auto"/>
            <w:hideMark/>
          </w:tcPr>
          <w:p w14:paraId="48B2362B"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0.7336</w:t>
            </w:r>
          </w:p>
        </w:tc>
        <w:tc>
          <w:tcPr>
            <w:tcW w:w="0" w:type="auto"/>
            <w:hideMark/>
          </w:tcPr>
          <w:p w14:paraId="77D4DB25" w14:textId="74DCB9EE"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$968</w:t>
            </w:r>
          </w:p>
        </w:tc>
        <w:tc>
          <w:tcPr>
            <w:tcW w:w="0" w:type="auto"/>
            <w:hideMark/>
          </w:tcPr>
          <w:p w14:paraId="3BE81E3E" w14:textId="52D5CD9B"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$5,241</w:t>
            </w:r>
          </w:p>
        </w:tc>
        <w:tc>
          <w:tcPr>
            <w:tcW w:w="0" w:type="auto"/>
            <w:hideMark/>
          </w:tcPr>
          <w:p w14:paraId="52DCF77B" w14:textId="6F3D8DBF"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$484</w:t>
            </w:r>
          </w:p>
        </w:tc>
        <w:tc>
          <w:tcPr>
            <w:tcW w:w="0" w:type="auto"/>
            <w:hideMark/>
          </w:tcPr>
          <w:p w14:paraId="020F040D" w14:textId="2773BB72"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$2,622</w:t>
            </w:r>
          </w:p>
        </w:tc>
      </w:tr>
      <w:tr w:rsidR="00AD16F0" w:rsidRPr="00A463FE" w14:paraId="3DF81935" w14:textId="77777777" w:rsidTr="00080034">
        <w:tc>
          <w:tcPr>
            <w:tcW w:w="705" w:type="pct"/>
            <w:hideMark/>
          </w:tcPr>
          <w:p w14:paraId="4C1F2452"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Language</w:t>
            </w:r>
          </w:p>
        </w:tc>
        <w:tc>
          <w:tcPr>
            <w:tcW w:w="581" w:type="pct"/>
            <w:hideMark/>
          </w:tcPr>
          <w:p w14:paraId="61C145A3" w14:textId="1DEABCFD"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0.3612</w:t>
            </w:r>
          </w:p>
        </w:tc>
        <w:tc>
          <w:tcPr>
            <w:tcW w:w="0" w:type="auto"/>
            <w:hideMark/>
          </w:tcPr>
          <w:p w14:paraId="4E9974FA" w14:textId="77777777" w:rsidR="00AD16F0" w:rsidRPr="00371B75"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0.6192</w:t>
            </w:r>
          </w:p>
        </w:tc>
        <w:tc>
          <w:tcPr>
            <w:tcW w:w="0" w:type="auto"/>
            <w:hideMark/>
          </w:tcPr>
          <w:p w14:paraId="702970D6" w14:textId="5160EEB4"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$968</w:t>
            </w:r>
          </w:p>
        </w:tc>
        <w:tc>
          <w:tcPr>
            <w:tcW w:w="0" w:type="auto"/>
            <w:hideMark/>
          </w:tcPr>
          <w:p w14:paraId="00DAAFAB" w14:textId="0EB26375"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$5,241</w:t>
            </w:r>
          </w:p>
        </w:tc>
        <w:tc>
          <w:tcPr>
            <w:tcW w:w="0" w:type="auto"/>
            <w:hideMark/>
          </w:tcPr>
          <w:p w14:paraId="6091D237" w14:textId="6C9E40D7"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$484</w:t>
            </w:r>
          </w:p>
        </w:tc>
        <w:tc>
          <w:tcPr>
            <w:tcW w:w="0" w:type="auto"/>
            <w:hideMark/>
          </w:tcPr>
          <w:p w14:paraId="553A706E" w14:textId="0E2A60EF" w:rsidR="00AD16F0" w:rsidRPr="00371B75" w:rsidRDefault="00A82D75"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$2,622</w:t>
            </w:r>
          </w:p>
        </w:tc>
      </w:tr>
    </w:tbl>
    <w:p w14:paraId="71EBD9A5" w14:textId="6083B7E9"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minimum funding allocation = $5</w:t>
      </w:r>
      <w:r w:rsidR="00113120">
        <w:rPr>
          <w:rFonts w:ascii="VIC-Regular" w:eastAsia="Times New Roman" w:hAnsi="VIC-Regular" w:cs="Times New Roman"/>
          <w:color w:val="011A3C"/>
          <w:sz w:val="24"/>
          <w:szCs w:val="24"/>
          <w:lang w:val="en" w:eastAsia="en-AU"/>
        </w:rPr>
        <w:t>,</w:t>
      </w:r>
      <w:r w:rsidRPr="00A463FE">
        <w:rPr>
          <w:rFonts w:ascii="VIC-Regular" w:eastAsia="Times New Roman" w:hAnsi="VIC-Regular" w:cs="Times New Roman"/>
          <w:color w:val="011A3C"/>
          <w:sz w:val="24"/>
          <w:szCs w:val="24"/>
          <w:lang w:val="en" w:eastAsia="en-AU"/>
        </w:rPr>
        <w:t>000</w:t>
      </w:r>
    </w:p>
    <w:p w14:paraId="00099584" w14:textId="49B8A6B3"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enrolment is based on the numbers of Level 1 and 2 students recorded in annually in the August census of the preceding year. Data for 202</w:t>
      </w:r>
      <w:r w:rsidR="003658AF">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is calculated using August 20</w:t>
      </w:r>
      <w:r w:rsidR="003658AF">
        <w:rPr>
          <w:rFonts w:ascii="VIC-Regular" w:eastAsia="Times New Roman" w:hAnsi="VIC-Regular" w:cs="Times New Roman"/>
          <w:color w:val="011A3C"/>
          <w:sz w:val="24"/>
          <w:szCs w:val="24"/>
          <w:lang w:val="en" w:eastAsia="en-AU"/>
        </w:rPr>
        <w:t>20</w:t>
      </w:r>
      <w:r w:rsidRPr="00A463FE">
        <w:rPr>
          <w:rFonts w:ascii="VIC-Regular" w:eastAsia="Times New Roman" w:hAnsi="VIC-Regular" w:cs="Times New Roman"/>
          <w:color w:val="011A3C"/>
          <w:sz w:val="24"/>
          <w:szCs w:val="24"/>
          <w:lang w:val="en" w:eastAsia="en-AU"/>
        </w:rPr>
        <w:t xml:space="preserve"> census data submitted by schools and is not adjusted for the 202</w:t>
      </w:r>
      <w:r w:rsidR="003658AF">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calendar year. The rolling weighted average also relies on August census data from the two periods prior (201</w:t>
      </w:r>
      <w:r w:rsidR="003658AF">
        <w:rPr>
          <w:rFonts w:ascii="VIC-Regular" w:eastAsia="Times New Roman" w:hAnsi="VIC-Regular" w:cs="Times New Roman"/>
          <w:color w:val="011A3C"/>
          <w:sz w:val="24"/>
          <w:szCs w:val="24"/>
          <w:lang w:val="en" w:eastAsia="en-AU"/>
        </w:rPr>
        <w:t>9</w:t>
      </w:r>
      <w:r w:rsidRPr="00A463FE">
        <w:rPr>
          <w:rFonts w:ascii="VIC-Regular" w:eastAsia="Times New Roman" w:hAnsi="VIC-Regular" w:cs="Times New Roman"/>
          <w:color w:val="011A3C"/>
          <w:sz w:val="24"/>
          <w:szCs w:val="24"/>
          <w:lang w:val="en" w:eastAsia="en-AU"/>
        </w:rPr>
        <w:t xml:space="preserve"> and 201</w:t>
      </w:r>
      <w:r w:rsidR="003658AF">
        <w:rPr>
          <w:rFonts w:ascii="VIC-Regular" w:eastAsia="Times New Roman" w:hAnsi="VIC-Regular" w:cs="Times New Roman"/>
          <w:color w:val="011A3C"/>
          <w:sz w:val="24"/>
          <w:szCs w:val="24"/>
          <w:lang w:val="en" w:eastAsia="en-AU"/>
        </w:rPr>
        <w:t>8</w:t>
      </w:r>
      <w:r w:rsidRPr="00A463FE">
        <w:rPr>
          <w:rFonts w:ascii="VIC-Regular" w:eastAsia="Times New Roman" w:hAnsi="VIC-Regular" w:cs="Times New Roman"/>
          <w:color w:val="011A3C"/>
          <w:sz w:val="24"/>
          <w:szCs w:val="24"/>
          <w:lang w:val="en" w:eastAsia="en-AU"/>
        </w:rPr>
        <w:t>).</w:t>
      </w:r>
    </w:p>
    <w:p w14:paraId="0AB9A520" w14:textId="77777777"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Equity (social disadvantage) funding displayed in the SRP reports</w:t>
      </w:r>
    </w:p>
    <w:p w14:paraId="1E079E37" w14:textId="48291B4D" w:rsidR="00AD16F0" w:rsidRPr="000D106B"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Funding calculated through the Equity (Social Disadvantage) formula is displayed in the SRP reports under the section entitled Education State (Including Additional Gonski). </w:t>
      </w:r>
    </w:p>
    <w:p w14:paraId="254D71B4" w14:textId="77777777" w:rsidR="00AD16F0" w:rsidRDefault="00AD16F0" w:rsidP="00AD16F0">
      <w:r>
        <w:br w:type="page"/>
      </w:r>
    </w:p>
    <w:p w14:paraId="270FBFDD" w14:textId="68827A25" w:rsidR="00AD16F0" w:rsidRPr="00A463FE" w:rsidRDefault="00AD16F0" w:rsidP="00842992">
      <w:pPr>
        <w:pStyle w:val="Heading2"/>
      </w:pPr>
      <w:bookmarkStart w:id="20" w:name="_Toc52796179"/>
      <w:r w:rsidRPr="00A463FE">
        <w:lastRenderedPageBreak/>
        <w:t>Equity (Catch Up) (Reference 12)</w:t>
      </w:r>
      <w:bookmarkEnd w:id="20"/>
    </w:p>
    <w:p w14:paraId="224040FA" w14:textId="617D2B42"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Equity (Catch Up) funding will target students who enter secondary schools and are at risk of educational failure. Secondary students who did not meet the national minimum standards in the National Assessment Program — Literacy and Numeracy (NAPLAN) in Year 5 (Reading) will each attract the </w:t>
      </w:r>
      <w:r w:rsidR="00992D19"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 This catch up loading is not affected by the school’s or student’s level of disadvantage and is based only of the academic achievement of the student. </w:t>
      </w:r>
    </w:p>
    <w:p w14:paraId="1609796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This catch up loading will be allocated according to the number of enrolled students who have not met the agreed NAPLAN national minimum standard in Year 5. The annual payment will continue for the student’s entire secondary school education. The funding will allow secondary schools to invest in proven interventions, such as one-on-one numeracy support or targeting teaching coaching to assist students to catch up academically. </w:t>
      </w:r>
    </w:p>
    <w:p w14:paraId="04845D29"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Identifying eligible students</w:t>
      </w:r>
    </w:p>
    <w:p w14:paraId="64F6AC7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enrolled in government secondary schools are identified via their NAPLAN results at Year 5 using their Victorian School Number (VSN). The number of students is aggregated at a school/campus level to provide a total number of students per school/campus.</w:t>
      </w:r>
    </w:p>
    <w:p w14:paraId="6642F80B" w14:textId="3FF74884"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202</w:t>
      </w:r>
      <w:r w:rsidR="00DD45EC">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Indicative SRP includes students that were assessed in the 201</w:t>
      </w:r>
      <w:r w:rsidR="00DD45EC">
        <w:rPr>
          <w:rFonts w:ascii="VIC-Regular" w:eastAsia="Times New Roman" w:hAnsi="VIC-Regular" w:cs="Times New Roman"/>
          <w:color w:val="011A3C"/>
          <w:sz w:val="24"/>
          <w:szCs w:val="24"/>
          <w:lang w:val="en" w:eastAsia="en-AU"/>
        </w:rPr>
        <w:t>9</w:t>
      </w:r>
      <w:r w:rsidRPr="00A463FE">
        <w:rPr>
          <w:rFonts w:ascii="VIC-Regular" w:eastAsia="Times New Roman" w:hAnsi="VIC-Regular" w:cs="Times New Roman"/>
          <w:color w:val="011A3C"/>
          <w:sz w:val="24"/>
          <w:szCs w:val="24"/>
          <w:lang w:val="en" w:eastAsia="en-AU"/>
        </w:rPr>
        <w:t xml:space="preserve"> NAPLAN tests. An update of student movements using updated NAPLAN data will be applied to the 202</w:t>
      </w:r>
      <w:r w:rsidR="00DD45EC">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xml:space="preserve"> Confirmed SRP release.</w:t>
      </w:r>
    </w:p>
    <w:p w14:paraId="32329B4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Year level match to NAPLAN results</w:t>
      </w:r>
    </w:p>
    <w:p w14:paraId="5A7BF87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In most cases, a student’s Year 5 NAPLAN result will be used to determine their eligibility for the catch up loading. However, there are cases where this is not possible as VSNs were only included in the NAPLAN dataset from 2011 onwards. As a transitional arrangement, students will be matched to their earliest NAPLAN test which could be linked through their VSN.</w:t>
      </w:r>
    </w:p>
    <w:p w14:paraId="60F7C8DE"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following table shows the mapping that will occur in cases where a student’s NAPLAN results are unavailable through their VSN: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2"/>
        <w:gridCol w:w="1214"/>
        <w:gridCol w:w="1214"/>
        <w:gridCol w:w="1214"/>
        <w:gridCol w:w="1214"/>
        <w:gridCol w:w="1214"/>
        <w:gridCol w:w="1214"/>
      </w:tblGrid>
      <w:tr w:rsidR="00AD16F0" w:rsidRPr="00A463FE" w14:paraId="1D601163" w14:textId="77777777" w:rsidTr="00080034">
        <w:trPr>
          <w:tblHeader/>
        </w:trPr>
        <w:tc>
          <w:tcPr>
            <w:tcW w:w="0" w:type="auto"/>
            <w:gridSpan w:val="7"/>
            <w:vAlign w:val="center"/>
            <w:hideMark/>
          </w:tcPr>
          <w:p w14:paraId="1CE1CC1C"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lastRenderedPageBreak/>
              <w:t>Secondary Year Level</w:t>
            </w:r>
          </w:p>
        </w:tc>
      </w:tr>
      <w:tr w:rsidR="00AD16F0" w:rsidRPr="00A463FE" w14:paraId="11BA5F5F" w14:textId="77777777" w:rsidTr="00080034">
        <w:trPr>
          <w:tblHeader/>
        </w:trPr>
        <w:tc>
          <w:tcPr>
            <w:tcW w:w="0" w:type="auto"/>
            <w:hideMark/>
          </w:tcPr>
          <w:p w14:paraId="0987B3D2" w14:textId="0CA5CA65"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201</w:t>
            </w:r>
            <w:r w:rsidR="00DD45EC" w:rsidRPr="00371B75">
              <w:rPr>
                <w:rFonts w:ascii="VIC-Bold" w:eastAsia="Times New Roman" w:hAnsi="VIC-Bold" w:cs="Times New Roman"/>
                <w:color w:val="323E4F" w:themeColor="text2" w:themeShade="BF"/>
                <w:sz w:val="24"/>
                <w:szCs w:val="24"/>
                <w:lang w:eastAsia="en-AU"/>
              </w:rPr>
              <w:t>9</w:t>
            </w:r>
            <w:r w:rsidRPr="00371B75">
              <w:rPr>
                <w:rFonts w:ascii="VIC-Bold" w:eastAsia="Times New Roman" w:hAnsi="VIC-Bold" w:cs="Times New Roman"/>
                <w:color w:val="323E4F" w:themeColor="text2" w:themeShade="BF"/>
                <w:sz w:val="24"/>
                <w:szCs w:val="24"/>
                <w:lang w:eastAsia="en-AU"/>
              </w:rPr>
              <w:t xml:space="preserve"> NAPLAN</w:t>
            </w:r>
          </w:p>
        </w:tc>
        <w:tc>
          <w:tcPr>
            <w:tcW w:w="0" w:type="auto"/>
            <w:hideMark/>
          </w:tcPr>
          <w:p w14:paraId="360A4340"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7</w:t>
            </w:r>
          </w:p>
        </w:tc>
        <w:tc>
          <w:tcPr>
            <w:tcW w:w="0" w:type="auto"/>
            <w:hideMark/>
          </w:tcPr>
          <w:p w14:paraId="42C2BE6C"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8</w:t>
            </w:r>
          </w:p>
        </w:tc>
        <w:tc>
          <w:tcPr>
            <w:tcW w:w="0" w:type="auto"/>
            <w:hideMark/>
          </w:tcPr>
          <w:p w14:paraId="44101CB6"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9</w:t>
            </w:r>
          </w:p>
        </w:tc>
        <w:tc>
          <w:tcPr>
            <w:tcW w:w="0" w:type="auto"/>
            <w:hideMark/>
          </w:tcPr>
          <w:p w14:paraId="392A460A"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10</w:t>
            </w:r>
          </w:p>
        </w:tc>
        <w:tc>
          <w:tcPr>
            <w:tcW w:w="0" w:type="auto"/>
            <w:hideMark/>
          </w:tcPr>
          <w:p w14:paraId="25CDB1E5"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11</w:t>
            </w:r>
          </w:p>
        </w:tc>
        <w:tc>
          <w:tcPr>
            <w:tcW w:w="0" w:type="auto"/>
            <w:hideMark/>
          </w:tcPr>
          <w:p w14:paraId="5F2E63E0" w14:textId="77777777" w:rsidR="00AD16F0" w:rsidRPr="00371B75" w:rsidRDefault="00AD16F0" w:rsidP="00DD45EC">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Year 12</w:t>
            </w:r>
          </w:p>
        </w:tc>
      </w:tr>
      <w:tr w:rsidR="00AD16F0" w:rsidRPr="00A463FE" w14:paraId="0775D4DA" w14:textId="77777777" w:rsidTr="00080034">
        <w:tc>
          <w:tcPr>
            <w:tcW w:w="0" w:type="auto"/>
            <w:hideMark/>
          </w:tcPr>
          <w:p w14:paraId="35E96E91"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First match</w:t>
            </w:r>
          </w:p>
        </w:tc>
        <w:tc>
          <w:tcPr>
            <w:tcW w:w="0" w:type="auto"/>
            <w:hideMark/>
          </w:tcPr>
          <w:p w14:paraId="57438D36"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558D36F8"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2582A695"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203D577B"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6C51C9BF"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c>
          <w:tcPr>
            <w:tcW w:w="0" w:type="auto"/>
            <w:hideMark/>
          </w:tcPr>
          <w:p w14:paraId="18B589D8"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Year 5 NAPLAN</w:t>
            </w:r>
          </w:p>
        </w:tc>
      </w:tr>
      <w:tr w:rsidR="00AD16F0" w:rsidRPr="00A463FE" w14:paraId="470BB3EF" w14:textId="77777777" w:rsidTr="00080034">
        <w:tc>
          <w:tcPr>
            <w:tcW w:w="0" w:type="auto"/>
            <w:hideMark/>
          </w:tcPr>
          <w:p w14:paraId="4E735735"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 match (if no first match)</w:t>
            </w:r>
          </w:p>
        </w:tc>
        <w:tc>
          <w:tcPr>
            <w:tcW w:w="0" w:type="auto"/>
            <w:hideMark/>
          </w:tcPr>
          <w:p w14:paraId="39E565F2"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3084B8A7"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6EAC99EF"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6E9A59A9"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326EA1B4" w14:textId="77777777" w:rsidR="00AD16F0" w:rsidRPr="00371B75" w:rsidRDefault="00AD16F0"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c>
          <w:tcPr>
            <w:tcW w:w="0" w:type="auto"/>
            <w:hideMark/>
          </w:tcPr>
          <w:p w14:paraId="593E533A" w14:textId="4F524162" w:rsidR="00AD16F0" w:rsidRPr="00371B75" w:rsidRDefault="00DD45EC" w:rsidP="00DD45E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bl>
    <w:p w14:paraId="2702A5D4"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Catch up loading and students funded under the Program for Students with Disability (PSD)</w:t>
      </w:r>
    </w:p>
    <w:p w14:paraId="2BA06CDD" w14:textId="03C57562"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The Program for Students with Disabilities (PSD) is a targeted supplementary funding program for Victorian government schools. It provides resources to schools for a defined population of students with disabilities, with moderate to severe needs. In recognition of the financial support these students receive, eligible PSD funded students attending mainstream schools will be eligible for a reduced catch up loading </w:t>
      </w:r>
      <w:r w:rsidR="00FB4A51" w:rsidRPr="00FB4A51">
        <w:t xml:space="preserve"> </w:t>
      </w:r>
      <w:r w:rsidR="00FB4A51">
        <w:t>$</w:t>
      </w:r>
      <w:r w:rsidR="00FB4A51" w:rsidRPr="00FB4A51">
        <w:rPr>
          <w:rFonts w:ascii="VIC-Regular" w:eastAsia="Times New Roman" w:hAnsi="VIC-Regular" w:cs="Times New Roman"/>
          <w:color w:val="011A3C"/>
          <w:sz w:val="24"/>
          <w:szCs w:val="24"/>
          <w:lang w:val="en" w:eastAsia="en-AU"/>
        </w:rPr>
        <w:t>1,144</w:t>
      </w:r>
      <w:r w:rsidRPr="00A463FE">
        <w:rPr>
          <w:rFonts w:ascii="VIC-Regular" w:eastAsia="Times New Roman" w:hAnsi="VIC-Regular" w:cs="Times New Roman"/>
          <w:color w:val="011A3C"/>
          <w:sz w:val="24"/>
          <w:szCs w:val="24"/>
          <w:lang w:val="en" w:eastAsia="en-AU"/>
        </w:rPr>
        <w:t>in 202</w:t>
      </w:r>
      <w:r w:rsidR="00FB4A51">
        <w:rPr>
          <w:rFonts w:ascii="VIC-Regular" w:eastAsia="Times New Roman" w:hAnsi="VIC-Regular" w:cs="Times New Roman"/>
          <w:color w:val="011A3C"/>
          <w:sz w:val="24"/>
          <w:szCs w:val="24"/>
          <w:lang w:val="en" w:eastAsia="en-AU"/>
        </w:rPr>
        <w:t>1</w:t>
      </w:r>
      <w:r w:rsidRPr="00A463FE">
        <w:rPr>
          <w:rFonts w:ascii="VIC-Regular" w:eastAsia="Times New Roman" w:hAnsi="VIC-Regular" w:cs="Times New Roman"/>
          <w:color w:val="011A3C"/>
          <w:sz w:val="24"/>
          <w:szCs w:val="24"/>
          <w:lang w:val="en" w:eastAsia="en-AU"/>
        </w:rPr>
        <w:t>). Students from specialist schools will not receive catch up loading.</w:t>
      </w:r>
    </w:p>
    <w:p w14:paraId="447D32A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There is comprehensive review of the PSD underway to investigate how to improve the way the PSD supports students with disabilities. Following the conclusion of the PSD review, the catch up loading approach for PSD students will be reassessed. </w:t>
      </w:r>
    </w:p>
    <w:p w14:paraId="120C03E3"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Withdrawn/absent students</w:t>
      </w:r>
    </w:p>
    <w:p w14:paraId="71FDD42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who were absent from NAPLAN are given a rating on the likelihood they achieved below the national minimum standard in NAPLAN Reading. These values are provided by the Victorian Curriculum Assessment Authority and are based on a methodology used by the Australian Curriculum, Assessment and Reporting Authority to impute NAPLAN values for absent students. This does not include exempt PSD and EAL students. </w:t>
      </w:r>
    </w:p>
    <w:p w14:paraId="31C1FC2C"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Where a student is absent, they will be eligible for a portion of the catch up loading based on the rating they receive in relation to their likelihood of being below the national minimum standard at Year 5. </w:t>
      </w:r>
    </w:p>
    <w:p w14:paraId="79F3E971" w14:textId="73B6B483"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Students who are recorded as withdrawn because their parents have made a decision for their child not to sit Year 5 NAPLAN will not be eligible for the </w:t>
      </w:r>
      <w:r w:rsidR="00992D19"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w:t>
      </w:r>
    </w:p>
    <w:p w14:paraId="59B9FE58" w14:textId="36F57DA4" w:rsidR="0087250D" w:rsidRPr="002C1457" w:rsidRDefault="0087250D" w:rsidP="0087250D">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2C1457">
        <w:rPr>
          <w:rFonts w:ascii="VIC-Regular" w:eastAsia="Times New Roman" w:hAnsi="VIC-Regular" w:cs="Times New Roman"/>
          <w:b/>
          <w:bCs/>
          <w:color w:val="011A3C"/>
          <w:sz w:val="24"/>
          <w:szCs w:val="24"/>
          <w:lang w:val="en" w:eastAsia="en-AU"/>
        </w:rPr>
        <w:lastRenderedPageBreak/>
        <w:t>Eligibility</w:t>
      </w:r>
    </w:p>
    <w:p w14:paraId="4F5F6DEE" w14:textId="77777777"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campus types are eligible for Equity (Catch Up) funding at campus level</w:t>
      </w:r>
    </w:p>
    <w:p w14:paraId="1B0915E2"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46995173" w14:textId="77777777" w:rsidR="0087250D" w:rsidRPr="00C558DA"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 xml:space="preserve">Primary / Secondary Combined </w:t>
      </w:r>
    </w:p>
    <w:p w14:paraId="3537797D" w14:textId="03D27505" w:rsidR="0087250D" w:rsidRPr="0087250D"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Funding is calculated at the</w:t>
      </w:r>
      <w:r w:rsidRPr="005B6713">
        <w:rPr>
          <w:rFonts w:ascii="VIC-Regular" w:eastAsia="Times New Roman" w:hAnsi="VIC-Regular" w:cs="Times New Roman"/>
          <w:color w:val="011A3C"/>
          <w:sz w:val="24"/>
          <w:szCs w:val="24"/>
          <w:lang w:val="en" w:eastAsia="en-AU"/>
        </w:rPr>
        <w:t xml:space="preserve"> </w:t>
      </w:r>
      <w:r w:rsidRPr="0095279A">
        <w:rPr>
          <w:rFonts w:ascii="VIC-Regular" w:eastAsia="Times New Roman" w:hAnsi="VIC-Regular" w:cs="Times New Roman"/>
          <w:color w:val="011A3C"/>
          <w:sz w:val="24"/>
          <w:szCs w:val="24"/>
          <w:lang w:val="en" w:eastAsia="en-AU"/>
        </w:rPr>
        <w:t>Confirmed</w:t>
      </w:r>
      <w:r>
        <w:rPr>
          <w:rFonts w:ascii="VIC-Regular" w:eastAsia="Times New Roman" w:hAnsi="VIC-Regular" w:cs="Times New Roman"/>
          <w:color w:val="011A3C"/>
          <w:sz w:val="24"/>
          <w:szCs w:val="24"/>
          <w:lang w:val="en" w:eastAsia="en-AU"/>
        </w:rPr>
        <w:t xml:space="preserve"> budget</w:t>
      </w:r>
      <w:r w:rsidRPr="0095279A">
        <w:rPr>
          <w:rFonts w:ascii="VIC-Regular" w:eastAsia="Times New Roman" w:hAnsi="VIC-Regular" w:cs="Times New Roman"/>
          <w:color w:val="011A3C"/>
          <w:sz w:val="24"/>
          <w:szCs w:val="24"/>
          <w:lang w:val="en" w:eastAsia="en-AU"/>
        </w:rPr>
        <w:t xml:space="preserve"> cycle</w:t>
      </w:r>
      <w:r>
        <w:rPr>
          <w:rFonts w:ascii="VIC-Regular" w:eastAsia="Times New Roman" w:hAnsi="VIC-Regular" w:cs="Times New Roman"/>
          <w:color w:val="011A3C"/>
          <w:sz w:val="24"/>
          <w:szCs w:val="24"/>
          <w:lang w:val="en" w:eastAsia="en-AU"/>
        </w:rPr>
        <w:t>, campuses are provided with cash and credit funding.</w:t>
      </w:r>
      <w:r w:rsidR="00FB4A51">
        <w:rPr>
          <w:rFonts w:ascii="VIC-Regular" w:eastAsia="Times New Roman" w:hAnsi="VIC-Regular" w:cs="Times New Roman"/>
          <w:color w:val="011A3C"/>
          <w:sz w:val="24"/>
          <w:szCs w:val="24"/>
          <w:lang w:val="en" w:eastAsia="en-AU"/>
        </w:rPr>
        <w:t xml:space="preserve"> Allocations </w:t>
      </w:r>
      <w:r w:rsidR="0073434C">
        <w:rPr>
          <w:rFonts w:ascii="VIC-Regular" w:eastAsia="Times New Roman" w:hAnsi="VIC-Regular" w:cs="Times New Roman"/>
          <w:color w:val="011A3C"/>
          <w:sz w:val="24"/>
          <w:szCs w:val="24"/>
          <w:lang w:val="en" w:eastAsia="en-AU"/>
        </w:rPr>
        <w:t>provided</w:t>
      </w:r>
      <w:r w:rsidR="00FB4A51">
        <w:rPr>
          <w:rFonts w:ascii="VIC-Regular" w:eastAsia="Times New Roman" w:hAnsi="VIC-Regular" w:cs="Times New Roman"/>
          <w:color w:val="011A3C"/>
          <w:sz w:val="24"/>
          <w:szCs w:val="24"/>
          <w:lang w:val="en" w:eastAsia="en-AU"/>
        </w:rPr>
        <w:t xml:space="preserve"> in the Indicative budget cycle reflect </w:t>
      </w:r>
      <w:r w:rsidR="0073434C">
        <w:rPr>
          <w:rFonts w:ascii="VIC-Regular" w:eastAsia="Times New Roman" w:hAnsi="VIC-Regular" w:cs="Times New Roman"/>
          <w:color w:val="011A3C"/>
          <w:sz w:val="24"/>
          <w:szCs w:val="24"/>
          <w:lang w:val="en" w:eastAsia="en-AU"/>
        </w:rPr>
        <w:t xml:space="preserve">student data as </w:t>
      </w:r>
      <w:r w:rsidR="00FC2A10">
        <w:rPr>
          <w:rFonts w:ascii="VIC-Regular" w:eastAsia="Times New Roman" w:hAnsi="VIC-Regular" w:cs="Times New Roman"/>
          <w:color w:val="011A3C"/>
          <w:sz w:val="24"/>
          <w:szCs w:val="24"/>
          <w:lang w:val="en" w:eastAsia="en-AU"/>
        </w:rPr>
        <w:t>at</w:t>
      </w:r>
      <w:r w:rsidR="0073434C">
        <w:rPr>
          <w:rFonts w:ascii="VIC-Regular" w:eastAsia="Times New Roman" w:hAnsi="VIC-Regular" w:cs="Times New Roman"/>
          <w:color w:val="011A3C"/>
          <w:sz w:val="24"/>
          <w:szCs w:val="24"/>
          <w:lang w:val="en" w:eastAsia="en-AU"/>
        </w:rPr>
        <w:t xml:space="preserve"> March </w:t>
      </w:r>
      <w:r w:rsidR="00FB4A51">
        <w:rPr>
          <w:rFonts w:ascii="VIC-Regular" w:eastAsia="Times New Roman" w:hAnsi="VIC-Regular" w:cs="Times New Roman"/>
          <w:color w:val="011A3C"/>
          <w:sz w:val="24"/>
          <w:szCs w:val="24"/>
          <w:lang w:val="en" w:eastAsia="en-AU"/>
        </w:rPr>
        <w:t>2020</w:t>
      </w:r>
      <w:r w:rsidR="0073434C">
        <w:rPr>
          <w:rFonts w:ascii="VIC-Regular" w:eastAsia="Times New Roman" w:hAnsi="VIC-Regular" w:cs="Times New Roman"/>
          <w:color w:val="011A3C"/>
          <w:sz w:val="24"/>
          <w:szCs w:val="24"/>
          <w:lang w:val="en" w:eastAsia="en-AU"/>
        </w:rPr>
        <w:t>.</w:t>
      </w:r>
      <w:r w:rsidR="00FB4A51">
        <w:rPr>
          <w:rFonts w:ascii="VIC-Regular" w:eastAsia="Times New Roman" w:hAnsi="VIC-Regular" w:cs="Times New Roman"/>
          <w:color w:val="011A3C"/>
          <w:sz w:val="24"/>
          <w:szCs w:val="24"/>
          <w:lang w:val="en" w:eastAsia="en-AU"/>
        </w:rPr>
        <w:t xml:space="preserve"> </w:t>
      </w:r>
    </w:p>
    <w:p w14:paraId="1CB9A673"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w:t>
      </w:r>
    </w:p>
    <w:p w14:paraId="19335156"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school’s overall catch up funding allocation is determined by combining the amounts from the following calculations: </w:t>
      </w:r>
    </w:p>
    <w:p w14:paraId="60C415A0" w14:textId="77777777" w:rsidR="00AD16F0" w:rsidRPr="00A463FE" w:rsidRDefault="00AD16F0" w:rsidP="00080034">
      <w:pPr>
        <w:numPr>
          <w:ilvl w:val="0"/>
          <w:numId w:val="3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Number of secondary graded students below Y5 national minimum standard x Level 1 per capita rate (non-PSD funded)</w:t>
      </w:r>
    </w:p>
    <w:p w14:paraId="5D7E7C9B" w14:textId="77777777" w:rsidR="00AD16F0" w:rsidRPr="00A463FE" w:rsidRDefault="00AD16F0" w:rsidP="00080034">
      <w:pPr>
        <w:numPr>
          <w:ilvl w:val="0"/>
          <w:numId w:val="3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Number of Secondary graded students below Y5 national minimum standard x Level 2 per capita rate (PSD funded)</w:t>
      </w:r>
    </w:p>
    <w:p w14:paraId="587F2C36" w14:textId="4934F131"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 xml:space="preserve">Rates </w:t>
      </w:r>
      <w:r w:rsidRPr="00080034">
        <w:rPr>
          <w:rFonts w:ascii="VIC-Bold" w:eastAsia="Times New Roman" w:hAnsi="VIC-Bold" w:cs="Times New Roman" w:hint="eastAsia"/>
          <w:b/>
          <w:bCs/>
          <w:color w:val="011A3C"/>
          <w:sz w:val="27"/>
          <w:szCs w:val="27"/>
          <w:lang w:val="en" w:eastAsia="en-AU"/>
        </w:rPr>
        <w:t>—</w:t>
      </w:r>
      <w:r w:rsidRPr="00080034">
        <w:rPr>
          <w:rFonts w:ascii="VIC-Bold" w:eastAsia="Times New Roman" w:hAnsi="VIC-Bold" w:cs="Times New Roman"/>
          <w:b/>
          <w:bCs/>
          <w:color w:val="011A3C"/>
          <w:sz w:val="27"/>
          <w:szCs w:val="27"/>
          <w:lang w:val="en" w:eastAsia="en-AU"/>
        </w:rPr>
        <w:t xml:space="preserve"> 202</w:t>
      </w:r>
      <w:r w:rsidR="00FB4A51">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2"/>
        <w:gridCol w:w="1431"/>
        <w:gridCol w:w="1252"/>
        <w:gridCol w:w="2701"/>
      </w:tblGrid>
      <w:tr w:rsidR="00AD16F0" w:rsidRPr="00A463FE" w14:paraId="4103711B" w14:textId="77777777" w:rsidTr="00080034">
        <w:trPr>
          <w:tblHeader/>
        </w:trPr>
        <w:tc>
          <w:tcPr>
            <w:tcW w:w="0" w:type="auto"/>
            <w:gridSpan w:val="4"/>
            <w:vAlign w:val="center"/>
            <w:hideMark/>
          </w:tcPr>
          <w:p w14:paraId="21CFEEA8"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Catch up loading</w:t>
            </w:r>
          </w:p>
        </w:tc>
      </w:tr>
      <w:tr w:rsidR="00AD16F0" w:rsidRPr="00A463FE" w14:paraId="35254B25" w14:textId="77777777" w:rsidTr="00080034">
        <w:trPr>
          <w:tblHeader/>
        </w:trPr>
        <w:tc>
          <w:tcPr>
            <w:tcW w:w="0" w:type="auto"/>
            <w:hideMark/>
          </w:tcPr>
          <w:p w14:paraId="3C16FCFD"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Catch Up</w:t>
            </w:r>
          </w:p>
        </w:tc>
        <w:tc>
          <w:tcPr>
            <w:tcW w:w="0" w:type="auto"/>
            <w:hideMark/>
          </w:tcPr>
          <w:p w14:paraId="58F44A21"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2ECCB41F"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7E26E4D2"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Catch Up ($)</w:t>
            </w:r>
          </w:p>
        </w:tc>
      </w:tr>
      <w:tr w:rsidR="00FB4A51" w:rsidRPr="00A463FE" w14:paraId="602470B4" w14:textId="77777777" w:rsidTr="00080034">
        <w:tc>
          <w:tcPr>
            <w:tcW w:w="0" w:type="auto"/>
            <w:hideMark/>
          </w:tcPr>
          <w:p w14:paraId="72C091D8" w14:textId="77777777" w:rsidR="00FB4A51" w:rsidRPr="00371B75"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60A80FA4" w14:textId="0F15AE4F"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1,145</w:t>
            </w:r>
          </w:p>
        </w:tc>
        <w:tc>
          <w:tcPr>
            <w:tcW w:w="0" w:type="auto"/>
            <w:hideMark/>
          </w:tcPr>
          <w:p w14:paraId="2A6CF04E" w14:textId="4DCCC771"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1,142</w:t>
            </w:r>
          </w:p>
        </w:tc>
        <w:tc>
          <w:tcPr>
            <w:tcW w:w="0" w:type="auto"/>
            <w:hideMark/>
          </w:tcPr>
          <w:p w14:paraId="304B9F21" w14:textId="440C237A"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2,287</w:t>
            </w:r>
          </w:p>
        </w:tc>
      </w:tr>
      <w:tr w:rsidR="00FB4A51" w:rsidRPr="00A463FE" w14:paraId="5DE138C5" w14:textId="77777777" w:rsidTr="00080034">
        <w:tc>
          <w:tcPr>
            <w:tcW w:w="0" w:type="auto"/>
            <w:hideMark/>
          </w:tcPr>
          <w:p w14:paraId="7104A0AC" w14:textId="77777777" w:rsidR="00FB4A51" w:rsidRPr="00371B75"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5994ED47" w14:textId="20B9C89A"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573</w:t>
            </w:r>
          </w:p>
        </w:tc>
        <w:tc>
          <w:tcPr>
            <w:tcW w:w="0" w:type="auto"/>
            <w:hideMark/>
          </w:tcPr>
          <w:p w14:paraId="415FB44E" w14:textId="12518827"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571</w:t>
            </w:r>
          </w:p>
        </w:tc>
        <w:tc>
          <w:tcPr>
            <w:tcW w:w="0" w:type="auto"/>
            <w:hideMark/>
          </w:tcPr>
          <w:p w14:paraId="0F94E350" w14:textId="5CE0E93A" w:rsidR="00FB4A51" w:rsidRPr="00371B75"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1,144</w:t>
            </w:r>
          </w:p>
        </w:tc>
      </w:tr>
    </w:tbl>
    <w:p w14:paraId="244BCD1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Important Items to note:</w:t>
      </w:r>
    </w:p>
    <w:p w14:paraId="0B069D15" w14:textId="77777777" w:rsidR="00AD16F0" w:rsidRPr="00A463FE" w:rsidRDefault="00AD16F0" w:rsidP="00080034">
      <w:pPr>
        <w:numPr>
          <w:ilvl w:val="0"/>
          <w:numId w:val="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allocations provided in the 2020 Indicative SRP are based on 2018 NAPLAN data from 2011 to 2017.</w:t>
      </w:r>
    </w:p>
    <w:p w14:paraId="17C4DFEF" w14:textId="77777777" w:rsidR="00AD16F0" w:rsidRPr="00A463FE" w:rsidRDefault="00AD16F0" w:rsidP="00080034">
      <w:pPr>
        <w:numPr>
          <w:ilvl w:val="0"/>
          <w:numId w:val="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eligible student names and or VSNs are not available to schools.</w:t>
      </w:r>
    </w:p>
    <w:p w14:paraId="76CF9B3A"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Catch Up (Special Circumstances)</w:t>
      </w:r>
    </w:p>
    <w:p w14:paraId="1583043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Catch Up (Special Circumstances) funding applies to students who are exempt from sitting NAPLAN and students who cannot be matched with their NAPLAN data (e.g. students who sat their test interstate).</w:t>
      </w:r>
    </w:p>
    <w:p w14:paraId="5E46A83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A campus will be eligible for Catch Up (Special Circumstances) funding where it has at least 10 Special Circumstances students, and these students make up at least 10% of the secondary cohort.</w:t>
      </w:r>
    </w:p>
    <w:p w14:paraId="57B15E0A"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All exempt students at eligible campuses will receive special circumstance funding.</w:t>
      </w:r>
    </w:p>
    <w:p w14:paraId="4A7187B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without a NAPLAN score at eligible campuses are funded at a proportional FTE based on the campus they are attending.</w:t>
      </w:r>
    </w:p>
    <w:p w14:paraId="00704868"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following is an example of the eligibility and calculation:</w:t>
      </w:r>
    </w:p>
    <w:p w14:paraId="6E9677D9"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campus has 100 secondary students, 20 of these students are currently funded for Equity (Catch Up) (= 20%).</w:t>
      </w:r>
    </w:p>
    <w:p w14:paraId="1D80B745"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campus has 5 exempt students and 5 students who cannot be matched with NAPLAN data. The campus has 10 special circumstances students in total and these students represent 10% of the secondary cohort, meaning the campus satisfies the eligibility criteria.</w:t>
      </w:r>
    </w:p>
    <w:p w14:paraId="6E03A59C"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5 exempt students will receive Catch Up (Special Circumstances) loading.</w:t>
      </w:r>
    </w:p>
    <w:p w14:paraId="1CF53FD2"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campus will also receive Catch Up (Special Circumstances) loading for 1 FTE based on the 5 students who cannot be matched with NAPLAN data (20% x 5 = 1 funded FTE).</w:t>
      </w:r>
    </w:p>
    <w:p w14:paraId="079E0F5E"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6 students will be funded at half the current Catch Up rate as outlined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9"/>
        <w:gridCol w:w="1238"/>
        <w:gridCol w:w="1083"/>
        <w:gridCol w:w="2336"/>
      </w:tblGrid>
      <w:tr w:rsidR="00371B75" w:rsidRPr="00371B75" w14:paraId="4C4427E4" w14:textId="77777777" w:rsidTr="00080034">
        <w:trPr>
          <w:tblHeader/>
        </w:trPr>
        <w:tc>
          <w:tcPr>
            <w:tcW w:w="0" w:type="auto"/>
            <w:gridSpan w:val="4"/>
            <w:vAlign w:val="center"/>
            <w:hideMark/>
          </w:tcPr>
          <w:p w14:paraId="55C045D7" w14:textId="7777777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Catch Up (Special Circumstances) Loading</w:t>
            </w:r>
          </w:p>
        </w:tc>
      </w:tr>
      <w:tr w:rsidR="00371B75" w:rsidRPr="00371B75" w14:paraId="4D39B0C2" w14:textId="77777777" w:rsidTr="00080034">
        <w:trPr>
          <w:tblHeader/>
        </w:trPr>
        <w:tc>
          <w:tcPr>
            <w:tcW w:w="0" w:type="auto"/>
            <w:hideMark/>
          </w:tcPr>
          <w:p w14:paraId="6DBB270C"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Catch Up (Special Circumstances)</w:t>
            </w:r>
          </w:p>
        </w:tc>
        <w:tc>
          <w:tcPr>
            <w:tcW w:w="0" w:type="auto"/>
            <w:hideMark/>
          </w:tcPr>
          <w:p w14:paraId="3FD5F3AA"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0DF1A7CA"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0ABE9A7F"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Catch Up ($)</w:t>
            </w:r>
          </w:p>
        </w:tc>
      </w:tr>
      <w:tr w:rsidR="00371B75" w:rsidRPr="00371B75" w14:paraId="75BDF56B" w14:textId="77777777" w:rsidTr="00080034">
        <w:tc>
          <w:tcPr>
            <w:tcW w:w="0" w:type="auto"/>
            <w:hideMark/>
          </w:tcPr>
          <w:p w14:paraId="393EEC47" w14:textId="77777777" w:rsidR="0073434C" w:rsidRPr="00371B75" w:rsidRDefault="0073434C" w:rsidP="0073434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3DFB258D" w14:textId="3B604497" w:rsidR="0073434C" w:rsidRPr="00371B75"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573</w:t>
            </w:r>
          </w:p>
        </w:tc>
        <w:tc>
          <w:tcPr>
            <w:tcW w:w="0" w:type="auto"/>
            <w:hideMark/>
          </w:tcPr>
          <w:p w14:paraId="66DC702E" w14:textId="77342B9F" w:rsidR="0073434C" w:rsidRPr="00371B75"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571</w:t>
            </w:r>
          </w:p>
        </w:tc>
        <w:tc>
          <w:tcPr>
            <w:tcW w:w="0" w:type="auto"/>
            <w:hideMark/>
          </w:tcPr>
          <w:p w14:paraId="31C88C5F" w14:textId="277A59A4" w:rsidR="0073434C" w:rsidRPr="00371B75"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1,144</w:t>
            </w:r>
          </w:p>
        </w:tc>
      </w:tr>
      <w:tr w:rsidR="00AD16F0" w:rsidRPr="00371B75" w14:paraId="0B0871B2" w14:textId="77777777" w:rsidTr="00080034">
        <w:tc>
          <w:tcPr>
            <w:tcW w:w="0" w:type="auto"/>
            <w:hideMark/>
          </w:tcPr>
          <w:p w14:paraId="137D1311"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40513D21" w14:textId="1BCDAB31" w:rsidR="00AD16F0" w:rsidRPr="00371B75" w:rsidRDefault="0073434C"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287</w:t>
            </w:r>
          </w:p>
        </w:tc>
        <w:tc>
          <w:tcPr>
            <w:tcW w:w="0" w:type="auto"/>
            <w:hideMark/>
          </w:tcPr>
          <w:p w14:paraId="07A2FF8C" w14:textId="3C2D3CA2" w:rsidR="00AD16F0" w:rsidRPr="00371B75" w:rsidRDefault="0073434C"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285 </w:t>
            </w:r>
          </w:p>
        </w:tc>
        <w:tc>
          <w:tcPr>
            <w:tcW w:w="0" w:type="auto"/>
            <w:hideMark/>
          </w:tcPr>
          <w:p w14:paraId="13324832" w14:textId="2E7BF7C8" w:rsidR="00AD16F0" w:rsidRPr="00371B75" w:rsidRDefault="0073434C"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572</w:t>
            </w:r>
          </w:p>
        </w:tc>
      </w:tr>
    </w:tbl>
    <w:p w14:paraId="5DFE70BC" w14:textId="77777777" w:rsidR="00AD16F0" w:rsidRPr="00371B75" w:rsidRDefault="00AD16F0" w:rsidP="00AD16F0">
      <w:pPr>
        <w:rPr>
          <w:color w:val="323E4F" w:themeColor="text2" w:themeShade="BF"/>
        </w:rPr>
      </w:pPr>
    </w:p>
    <w:p w14:paraId="0537C98C" w14:textId="77777777" w:rsidR="00AD16F0" w:rsidRDefault="00AD16F0" w:rsidP="00AD16F0">
      <w:r>
        <w:br w:type="page"/>
      </w:r>
    </w:p>
    <w:p w14:paraId="483BACE4" w14:textId="4B6DA462" w:rsidR="00AD16F0" w:rsidRPr="00394ED5" w:rsidRDefault="00AD16F0" w:rsidP="00842992">
      <w:pPr>
        <w:pStyle w:val="Heading2"/>
      </w:pPr>
      <w:bookmarkStart w:id="21" w:name="_Toc52796180"/>
      <w:r w:rsidRPr="00394ED5">
        <w:lastRenderedPageBreak/>
        <w:t>Mobility (Reference 14)</w:t>
      </w:r>
      <w:bookmarkEnd w:id="21"/>
    </w:p>
    <w:p w14:paraId="34648709"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high levels of student mobility over a sustained period of time receive mobility funding. This funding should be used by schools to design and provide programs that are specific to the needs of mobile students.</w:t>
      </w:r>
    </w:p>
    <w:p w14:paraId="0F9D46CE" w14:textId="64DD80D5"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eligible for mobility funding are those with a transient enrolment density equal to or greater than 10 per cent when averaged over three years</w:t>
      </w:r>
      <w:r w:rsidR="004B3B0C">
        <w:rPr>
          <w:rFonts w:ascii="VIC-Regular" w:eastAsia="Times New Roman" w:hAnsi="VIC-Regular" w:cs="Times New Roman"/>
          <w:color w:val="011A3C"/>
          <w:sz w:val="24"/>
          <w:szCs w:val="24"/>
          <w:lang w:val="en" w:eastAsia="en-AU"/>
        </w:rPr>
        <w:t xml:space="preserve"> </w:t>
      </w:r>
      <w:r w:rsidR="004B3B0C" w:rsidRPr="004B3B0C">
        <w:rPr>
          <w:rFonts w:ascii="VIC-Regular" w:eastAsia="Times New Roman" w:hAnsi="VIC-Regular" w:cs="Times New Roman"/>
          <w:color w:val="011A3C"/>
          <w:sz w:val="24"/>
          <w:szCs w:val="24"/>
          <w:lang w:val="en" w:eastAsia="en-AU"/>
        </w:rPr>
        <w:t xml:space="preserve">and </w:t>
      </w:r>
      <w:r w:rsidR="004B3B0C">
        <w:rPr>
          <w:rFonts w:ascii="VIC-Regular" w:eastAsia="Times New Roman" w:hAnsi="VIC-Regular" w:cs="Times New Roman"/>
          <w:color w:val="011A3C"/>
          <w:sz w:val="24"/>
          <w:szCs w:val="24"/>
          <w:lang w:val="en" w:eastAsia="en-AU"/>
        </w:rPr>
        <w:t xml:space="preserve">must </w:t>
      </w:r>
      <w:r w:rsidR="004B3B0C" w:rsidRPr="004B3B0C">
        <w:rPr>
          <w:rFonts w:ascii="VIC-Regular" w:eastAsia="Times New Roman" w:hAnsi="VIC-Regular" w:cs="Times New Roman"/>
          <w:color w:val="011A3C"/>
          <w:sz w:val="24"/>
          <w:szCs w:val="24"/>
          <w:lang w:val="en" w:eastAsia="en-AU"/>
        </w:rPr>
        <w:t xml:space="preserve">have mobility enrolments in all three years. </w:t>
      </w:r>
      <w:r w:rsidRPr="00394ED5">
        <w:rPr>
          <w:rFonts w:ascii="VIC-Regular" w:eastAsia="Times New Roman" w:hAnsi="VIC-Regular" w:cs="Times New Roman"/>
          <w:color w:val="011A3C"/>
          <w:sz w:val="24"/>
          <w:szCs w:val="24"/>
          <w:lang w:val="en" w:eastAsia="en-AU"/>
        </w:rPr>
        <w:t xml:space="preserve"> The transient enrolment density for each school is a measure of the number of students who enrolled at the school during abnormal times as defined by the following criteria:</w:t>
      </w:r>
    </w:p>
    <w:p w14:paraId="1FB1FAD8" w14:textId="77777777" w:rsidR="00AD16F0" w:rsidRPr="00394ED5" w:rsidRDefault="00AD16F0" w:rsidP="00080034">
      <w:pPr>
        <w:numPr>
          <w:ilvl w:val="0"/>
          <w:numId w:val="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Students who enrolled at the school in the previous year after the mid-year census and up to 30 November OR who enrolled in the current year between 1 March and the current mid-year census are counted as transient enrolments.</w:t>
      </w:r>
    </w:p>
    <w:p w14:paraId="09F0F82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Transient enrolment density is calculated as the school’s transient enrolment divided by the total school enrolments provided in the August census of the previous year.</w:t>
      </w:r>
    </w:p>
    <w:p w14:paraId="7C6DA9AA"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Eligibility</w:t>
      </w:r>
    </w:p>
    <w:p w14:paraId="6CE95625" w14:textId="150FC951" w:rsidR="00AD16F0" w:rsidRPr="00394ED5"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the following campus types are eligible for mobility funding at campus level</w:t>
      </w:r>
      <w:r>
        <w:rPr>
          <w:rFonts w:ascii="VIC-Regular" w:eastAsia="Times New Roman" w:hAnsi="VIC-Regular" w:cs="Times New Roman"/>
          <w:color w:val="011A3C"/>
          <w:sz w:val="24"/>
          <w:szCs w:val="24"/>
          <w:lang w:val="en" w:eastAsia="en-AU"/>
        </w:rPr>
        <w:t xml:space="preserve"> </w:t>
      </w:r>
      <w:r w:rsidR="0087250D">
        <w:rPr>
          <w:rFonts w:ascii="VIC-Regular" w:eastAsia="Times New Roman" w:hAnsi="VIC-Regular" w:cs="Times New Roman"/>
          <w:color w:val="011A3C"/>
          <w:sz w:val="24"/>
          <w:szCs w:val="24"/>
          <w:lang w:val="en" w:eastAsia="en-AU"/>
        </w:rPr>
        <w:t>if they meet the transient criteria above</w:t>
      </w:r>
      <w:r w:rsidR="0087250D" w:rsidRPr="00394ED5">
        <w:rPr>
          <w:rFonts w:ascii="VIC-Regular" w:eastAsia="Times New Roman" w:hAnsi="VIC-Regular" w:cs="Times New Roman"/>
          <w:color w:val="011A3C"/>
          <w:sz w:val="24"/>
          <w:szCs w:val="24"/>
          <w:lang w:val="en" w:eastAsia="en-AU"/>
        </w:rPr>
        <w:t>.</w:t>
      </w:r>
    </w:p>
    <w:p w14:paraId="0076D5B0" w14:textId="466B6219" w:rsidR="0087250D" w:rsidRDefault="0087250D" w:rsidP="00080034">
      <w:pPr>
        <w:numPr>
          <w:ilvl w:val="0"/>
          <w:numId w:val="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Primary</w:t>
      </w:r>
    </w:p>
    <w:p w14:paraId="760AC74B" w14:textId="77777777" w:rsidR="0073434C" w:rsidRDefault="00AD16F0" w:rsidP="0087250D">
      <w:pPr>
        <w:numPr>
          <w:ilvl w:val="0"/>
          <w:numId w:val="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Secondary</w:t>
      </w:r>
    </w:p>
    <w:p w14:paraId="2361AED3" w14:textId="7952BC32" w:rsidR="00AD16F0" w:rsidRPr="0087250D" w:rsidRDefault="00AD16F0" w:rsidP="0087250D">
      <w:pPr>
        <w:numPr>
          <w:ilvl w:val="0"/>
          <w:numId w:val="34"/>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2" w:name="_Hlk50129305"/>
      <w:r w:rsidRPr="0087250D">
        <w:rPr>
          <w:rFonts w:ascii="VIC-Regular" w:eastAsia="Times New Roman" w:hAnsi="VIC-Regular" w:cs="Times New Roman"/>
          <w:color w:val="011A3C"/>
          <w:sz w:val="24"/>
          <w:szCs w:val="24"/>
          <w:lang w:val="en" w:eastAsia="en-AU"/>
        </w:rPr>
        <w:t>Primary/Secondary Combined</w:t>
      </w:r>
    </w:p>
    <w:bookmarkEnd w:id="22"/>
    <w:p w14:paraId="03C74AB7" w14:textId="6C4D7739" w:rsidR="0087250D" w:rsidRPr="00394ED5" w:rsidRDefault="0087250D" w:rsidP="0087250D">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r w:rsidRPr="0087250D">
        <w:rPr>
          <w:rFonts w:ascii="VIC-Regular" w:eastAsia="Times New Roman" w:hAnsi="VIC-Regular" w:cs="Times New Roman"/>
          <w:color w:val="011A3C"/>
          <w:sz w:val="24"/>
          <w:szCs w:val="24"/>
          <w:lang w:val="en" w:eastAsia="en-AU"/>
        </w:rPr>
        <w:t>Funding is calculated at the Indicative budget cycle, campuses are provided with cash and credit funding.</w:t>
      </w:r>
    </w:p>
    <w:p w14:paraId="49C09AA5"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w:t>
      </w:r>
    </w:p>
    <w:p w14:paraId="7CF9906B" w14:textId="77777777"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b/>
          <w:bCs/>
          <w:color w:val="011A3C"/>
          <w:sz w:val="24"/>
          <w:szCs w:val="24"/>
          <w:lang w:val="en" w:eastAsia="en-AU"/>
        </w:rPr>
        <w:t>Mobility Funding</w:t>
      </w:r>
      <w:r w:rsidRPr="00394ED5">
        <w:rPr>
          <w:rFonts w:ascii="VIC-Regular" w:eastAsia="Times New Roman" w:hAnsi="VIC-Regular" w:cs="Times New Roman"/>
          <w:color w:val="011A3C"/>
          <w:sz w:val="24"/>
          <w:szCs w:val="24"/>
          <w:lang w:val="en" w:eastAsia="en-AU"/>
        </w:rPr>
        <w:t xml:space="preserve"> = Base + (Total transient enrolments x Student per capita rate)</w:t>
      </w:r>
    </w:p>
    <w:p w14:paraId="16EAE438" w14:textId="77777777"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lastRenderedPageBreak/>
        <w:t>Example a school with 25 transient enrolments would calculate their funding as:</w:t>
      </w:r>
    </w:p>
    <w:p w14:paraId="25D92847" w14:textId="46A89AA3"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Base + </w:t>
      </w:r>
      <w:r w:rsidRPr="00394ED5">
        <w:rPr>
          <w:rFonts w:ascii="VIC-Regular" w:eastAsia="Times New Roman" w:hAnsi="VIC-Regular" w:cs="Times New Roman"/>
          <w:color w:val="011A3C"/>
          <w:sz w:val="24"/>
          <w:szCs w:val="24"/>
          <w:lang w:val="en" w:eastAsia="en-AU"/>
        </w:rPr>
        <w:t xml:space="preserve">(Total transient enrolments </w:t>
      </w:r>
      <w:r>
        <w:rPr>
          <w:rFonts w:ascii="VIC-Regular" w:eastAsia="Times New Roman" w:hAnsi="VIC-Regular" w:cs="Times New Roman"/>
          <w:color w:val="011A3C"/>
          <w:sz w:val="24"/>
          <w:szCs w:val="24"/>
          <w:lang w:val="en" w:eastAsia="en-AU"/>
        </w:rPr>
        <w:t xml:space="preserve">(25) </w:t>
      </w:r>
      <w:r w:rsidRPr="00394ED5">
        <w:rPr>
          <w:rFonts w:ascii="VIC-Regular" w:eastAsia="Times New Roman" w:hAnsi="VIC-Regular" w:cs="Times New Roman"/>
          <w:color w:val="011A3C"/>
          <w:sz w:val="24"/>
          <w:szCs w:val="24"/>
          <w:lang w:val="en" w:eastAsia="en-AU"/>
        </w:rPr>
        <w:t>x Student per capita rate)</w:t>
      </w:r>
    </w:p>
    <w:p w14:paraId="4D4142DE" w14:textId="77777777" w:rsidR="00985091" w:rsidRDefault="00985091"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FBD954D" w14:textId="1454BF06" w:rsidR="00AD16F0" w:rsidRPr="002C1457" w:rsidRDefault="00AD16F0" w:rsidP="00AD16F0">
      <w:pPr>
        <w:spacing w:before="100" w:beforeAutospacing="1" w:after="100" w:afterAutospacing="1" w:line="288" w:lineRule="atLeast"/>
        <w:outlineLvl w:val="3"/>
        <w:rPr>
          <w:rFonts w:ascii="VIC-Bold" w:eastAsia="Times New Roman" w:hAnsi="VIC-Bold" w:cs="Times New Roman"/>
          <w:b/>
          <w:bCs/>
          <w:color w:val="011A3C"/>
          <w:sz w:val="27"/>
          <w:szCs w:val="27"/>
          <w:lang w:val="en" w:eastAsia="en-AU"/>
        </w:rPr>
      </w:pPr>
      <w:r w:rsidRPr="002C1457">
        <w:rPr>
          <w:rFonts w:ascii="VIC-Bold" w:eastAsia="Times New Roman" w:hAnsi="VIC-Bold" w:cs="Times New Roman"/>
          <w:b/>
          <w:bCs/>
          <w:color w:val="011A3C"/>
          <w:sz w:val="27"/>
          <w:szCs w:val="27"/>
          <w:lang w:val="en" w:eastAsia="en-AU"/>
        </w:rPr>
        <w:t>Rates — 202</w:t>
      </w:r>
      <w:r w:rsidR="00FB4A51">
        <w:rPr>
          <w:rFonts w:ascii="VIC-Bold" w:eastAsia="Times New Roman" w:hAnsi="VIC-Bold" w:cs="Times New Roman"/>
          <w:b/>
          <w:bCs/>
          <w:color w:val="011A3C"/>
          <w:sz w:val="27"/>
          <w:szCs w:val="27"/>
          <w:lang w:val="en" w:eastAsia="en-AU"/>
        </w:rPr>
        <w:t>1</w:t>
      </w:r>
    </w:p>
    <w:p w14:paraId="17157561" w14:textId="12310C65" w:rsidR="00AD16F0" w:rsidRPr="00394ED5" w:rsidRDefault="00AD16F0" w:rsidP="00080034">
      <w:pPr>
        <w:numPr>
          <w:ilvl w:val="0"/>
          <w:numId w:val="3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Base rate ($) — </w:t>
      </w:r>
      <w:r w:rsidR="0073434C" w:rsidRPr="0073434C">
        <w:rPr>
          <w:rFonts w:ascii="VIC-Regular" w:eastAsia="Times New Roman" w:hAnsi="VIC-Regular" w:cs="Times New Roman"/>
          <w:color w:val="011A3C"/>
          <w:sz w:val="24"/>
          <w:szCs w:val="24"/>
          <w:lang w:val="en" w:eastAsia="en-AU"/>
        </w:rPr>
        <w:t>2,529</w:t>
      </w:r>
    </w:p>
    <w:p w14:paraId="2D44CBE0" w14:textId="7EB52F8B" w:rsidR="00AD16F0" w:rsidRDefault="00AD16F0" w:rsidP="00080034">
      <w:pPr>
        <w:pStyle w:val="ListParagraph"/>
        <w:numPr>
          <w:ilvl w:val="0"/>
          <w:numId w:val="35"/>
        </w:numPr>
      </w:pPr>
      <w:r w:rsidRPr="00385FDE">
        <w:rPr>
          <w:rFonts w:ascii="VIC-Regular" w:eastAsia="Times New Roman" w:hAnsi="VIC-Regular" w:cs="Times New Roman"/>
          <w:color w:val="011A3C"/>
          <w:sz w:val="24"/>
          <w:szCs w:val="24"/>
          <w:lang w:val="en" w:eastAsia="en-AU"/>
        </w:rPr>
        <w:t xml:space="preserve">Per capita ($) — </w:t>
      </w:r>
      <w:r w:rsidR="0073434C" w:rsidRPr="0073434C">
        <w:rPr>
          <w:rFonts w:ascii="VIC-Regular" w:eastAsia="Times New Roman" w:hAnsi="VIC-Regular" w:cs="Times New Roman"/>
          <w:color w:val="011A3C"/>
          <w:sz w:val="24"/>
          <w:szCs w:val="24"/>
          <w:lang w:val="en" w:eastAsia="en-AU"/>
        </w:rPr>
        <w:t>350</w:t>
      </w:r>
      <w:r>
        <w:br w:type="page"/>
      </w:r>
    </w:p>
    <w:p w14:paraId="434E2EB6" w14:textId="6AD89C40" w:rsidR="00AD16F0" w:rsidRPr="00394ED5" w:rsidRDefault="00AD16F0" w:rsidP="00842992">
      <w:pPr>
        <w:pStyle w:val="Heading2"/>
      </w:pPr>
      <w:bookmarkStart w:id="23" w:name="_Toc52796181"/>
      <w:r w:rsidRPr="00394ED5">
        <w:lastRenderedPageBreak/>
        <w:t>Program for Students with Disabilities Levels 1-6 (Reference 15)</w:t>
      </w:r>
      <w:bookmarkEnd w:id="23"/>
    </w:p>
    <w:p w14:paraId="2962C9E5"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Program for Students with Disabilities (PSD) is a targeted supplementary funding program for Victorian government schools. It provides resources to schools for a defined population of students with disabilities, with high needs, to support the provision of school-based educational programs.</w:t>
      </w:r>
    </w:p>
    <w:p w14:paraId="4DE81E7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receive funding for students with current eligibility at one of six levels, informed by the responses provided to the Educational Needs Questionnaire.</w:t>
      </w:r>
    </w:p>
    <w:p w14:paraId="5CE6D2D7"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Use of funding</w:t>
      </w:r>
    </w:p>
    <w:p w14:paraId="1E3360B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Resources provided to the school can be used in a number of ways to support students, including:</w:t>
      </w:r>
    </w:p>
    <w:p w14:paraId="34131C4F"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Teaching staff</w:t>
      </w:r>
    </w:p>
    <w:p w14:paraId="5C31E0E2"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staff (e.g. Special Needs Coordinator, occupational therapist, speech pathologists)</w:t>
      </w:r>
    </w:p>
    <w:p w14:paraId="008D244F"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Consultancy or professional development</w:t>
      </w:r>
    </w:p>
    <w:p w14:paraId="41B694E2"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equipment or materials</w:t>
      </w:r>
    </w:p>
    <w:p w14:paraId="147A860F"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Education support staff</w:t>
      </w:r>
    </w:p>
    <w:p w14:paraId="3B75B83A"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Associated payroll tax</w:t>
      </w:r>
    </w:p>
    <w:p w14:paraId="2E296D8D"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Superannuation</w:t>
      </w:r>
    </w:p>
    <w:p w14:paraId="065C83F5"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resources assist schools to meet their obligations under the Disability Discrimination Act; they do not define or limit the support provided by a school for a student with a disability. </w:t>
      </w:r>
    </w:p>
    <w:p w14:paraId="263EF74B"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The Student Support Group is the primary source of advice to the principal on the personalised learning and support required. Schools are required to establish Student Support Groups for all students supported under the PSD, see </w:t>
      </w:r>
      <w:hyperlink r:id="rId23" w:history="1">
        <w:r w:rsidRPr="00394ED5">
          <w:rPr>
            <w:rFonts w:ascii="VIC-Regular" w:eastAsia="Times New Roman" w:hAnsi="VIC-Regular" w:cs="Times New Roman"/>
            <w:color w:val="011A3C"/>
            <w:sz w:val="24"/>
            <w:szCs w:val="24"/>
            <w:lang w:val="en" w:eastAsia="en-AU"/>
          </w:rPr>
          <w:t>Student Support Groups</w:t>
        </w:r>
      </w:hyperlink>
      <w:r w:rsidRPr="00394ED5">
        <w:rPr>
          <w:rFonts w:ascii="VIC-Regular" w:eastAsia="Times New Roman" w:hAnsi="VIC-Regular" w:cs="Times New Roman"/>
          <w:color w:val="011A3C"/>
          <w:sz w:val="24"/>
          <w:szCs w:val="24"/>
          <w:lang w:val="en" w:eastAsia="en-AU"/>
        </w:rPr>
        <w:t> .</w:t>
      </w:r>
    </w:p>
    <w:p w14:paraId="3D08EC5E" w14:textId="6C094218" w:rsidR="00B846F8" w:rsidRPr="000D106B"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It is the responsibility of the school, in consultation with parents/carers/guardians in the Student Support Group, to determine the </w:t>
      </w:r>
      <w:r w:rsidRPr="00394ED5">
        <w:rPr>
          <w:rFonts w:ascii="VIC-Regular" w:eastAsia="Times New Roman" w:hAnsi="VIC-Regular" w:cs="Times New Roman"/>
          <w:color w:val="011A3C"/>
          <w:sz w:val="24"/>
          <w:szCs w:val="24"/>
          <w:lang w:val="en" w:eastAsia="en-AU"/>
        </w:rPr>
        <w:lastRenderedPageBreak/>
        <w:t>specific nature of the support required, and schools are required to consider their total budget in supporting a student with a disability.</w:t>
      </w:r>
    </w:p>
    <w:p w14:paraId="78976592" w14:textId="77777777" w:rsidR="00C34127" w:rsidRDefault="00C34127"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p>
    <w:p w14:paraId="71BCDBAE" w14:textId="77777777" w:rsidR="00C34127" w:rsidRDefault="00C34127"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p>
    <w:p w14:paraId="3302DBCB" w14:textId="632085E0" w:rsidR="0087250D" w:rsidRPr="002C1457" w:rsidRDefault="0087250D"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2C1457">
        <w:rPr>
          <w:rFonts w:ascii="VIC-Regular" w:eastAsia="Times New Roman" w:hAnsi="VIC-Regular" w:cs="Times New Roman"/>
          <w:b/>
          <w:bCs/>
          <w:color w:val="011A3C"/>
          <w:sz w:val="26"/>
          <w:szCs w:val="28"/>
          <w:lang w:val="en" w:eastAsia="en-AU"/>
        </w:rPr>
        <w:t>Eligibility</w:t>
      </w:r>
    </w:p>
    <w:p w14:paraId="0FB6CF7E" w14:textId="77777777" w:rsidR="0087250D" w:rsidRPr="002D3D6A" w:rsidRDefault="0087250D" w:rsidP="0087250D">
      <w:p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sz w:val="24"/>
          <w:szCs w:val="24"/>
          <w:lang w:val="en" w:eastAsia="en-AU"/>
        </w:rPr>
        <w:t>Schools with the following campus types are eligible for Programs for Students with Disabilities funding at school level.</w:t>
      </w:r>
    </w:p>
    <w:p w14:paraId="7342D8F5"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Primary</w:t>
      </w:r>
    </w:p>
    <w:p w14:paraId="668A1415"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21DFDFDF" w14:textId="77777777" w:rsidR="0073434C" w:rsidRPr="0073434C" w:rsidRDefault="0073434C" w:rsidP="0073434C">
      <w:pPr>
        <w:pStyle w:val="ListParagraph"/>
        <w:numPr>
          <w:ilvl w:val="0"/>
          <w:numId w:val="25"/>
        </w:numPr>
        <w:rPr>
          <w:rFonts w:ascii="VIC-Regular" w:eastAsia="Times New Roman" w:hAnsi="VIC-Regular" w:cs="Times New Roman"/>
          <w:color w:val="011A3C"/>
          <w:lang w:val="en" w:eastAsia="en-AU"/>
        </w:rPr>
      </w:pPr>
      <w:r w:rsidRPr="0073434C">
        <w:rPr>
          <w:rFonts w:ascii="VIC-Regular" w:eastAsia="Times New Roman" w:hAnsi="VIC-Regular" w:cs="Times New Roman"/>
          <w:color w:val="011A3C"/>
          <w:lang w:val="en" w:eastAsia="en-AU"/>
        </w:rPr>
        <w:t>Primary/Secondary Combined</w:t>
      </w:r>
    </w:p>
    <w:p w14:paraId="2F29E1F0" w14:textId="77777777" w:rsidR="0087250D" w:rsidRPr="001E60DE"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Special</w:t>
      </w:r>
    </w:p>
    <w:p w14:paraId="74CD901F" w14:textId="77777777" w:rsidR="0087250D"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 xml:space="preserve">for each of the four school terms and allocated through credit funding. </w:t>
      </w:r>
    </w:p>
    <w:p w14:paraId="46877527" w14:textId="0F79B242"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 details</w:t>
      </w:r>
    </w:p>
    <w:p w14:paraId="55A63E52"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resources are allocated according to enrolment information provided by schools via the</w:t>
      </w:r>
      <w:hyperlink r:id="rId24" w:history="1">
        <w:r w:rsidRPr="00394ED5">
          <w:rPr>
            <w:rFonts w:ascii="VIC-Regular" w:eastAsia="Times New Roman" w:hAnsi="VIC-Regular" w:cs="Times New Roman"/>
            <w:color w:val="011A3C"/>
            <w:sz w:val="24"/>
            <w:szCs w:val="24"/>
            <w:lang w:val="en" w:eastAsia="en-AU"/>
          </w:rPr>
          <w:t xml:space="preserve"> Program for Students with Disabilities Management System (PSDMS)</w:t>
        </w:r>
      </w:hyperlink>
      <w:r w:rsidRPr="00394ED5">
        <w:rPr>
          <w:rFonts w:ascii="VIC-Regular" w:eastAsia="Times New Roman" w:hAnsi="VIC-Regular" w:cs="Times New Roman"/>
          <w:color w:val="011A3C"/>
          <w:sz w:val="24"/>
          <w:szCs w:val="24"/>
          <w:lang w:val="en" w:eastAsia="en-AU"/>
        </w:rPr>
        <w:t xml:space="preserve"> prior to budget-critical dates early each term.</w:t>
      </w:r>
    </w:p>
    <w:p w14:paraId="65B1B1D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student details are entered incorrectly in CASES21, or enrolments are not registered in PSDMS prior to budget critical dates each term, Program for Students with Disabilities funding cannot be guaranteed.</w:t>
      </w:r>
    </w:p>
    <w:p w14:paraId="6D0188E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Principals must ensure all students eligible for the PSD are listed on PSDMS prior to these critical dates. Enrolment details for new students, or current students not listed on PSDMS, must be promptly uploaded from CASES21 and registered in PSDMS, see </w:t>
      </w:r>
      <w:hyperlink r:id="rId25" w:history="1">
        <w:r w:rsidRPr="00394ED5">
          <w:rPr>
            <w:rFonts w:ascii="VIC-Regular" w:eastAsia="Times New Roman" w:hAnsi="VIC-Regular" w:cs="Times New Roman"/>
            <w:color w:val="011A3C"/>
            <w:sz w:val="24"/>
            <w:szCs w:val="24"/>
            <w:lang w:val="en" w:eastAsia="en-AU"/>
          </w:rPr>
          <w:t>PSDMS</w:t>
        </w:r>
      </w:hyperlink>
      <w:r w:rsidRPr="00394ED5">
        <w:rPr>
          <w:rFonts w:ascii="VIC-Regular" w:eastAsia="Times New Roman" w:hAnsi="VIC-Regular" w:cs="Times New Roman"/>
          <w:color w:val="011A3C"/>
          <w:sz w:val="24"/>
          <w:szCs w:val="24"/>
          <w:lang w:val="en" w:eastAsia="en-AU"/>
        </w:rPr>
        <w:t>.</w:t>
      </w:r>
    </w:p>
    <w:p w14:paraId="6EEF1941"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a student transfers during the school year, resources remaining for the year will be adjusted and made available to the new school from the commencement of the next school term (pending enrolment registration on PSDMS). The SRP is revised at the end of each term (as required) to capture these changes. </w:t>
      </w:r>
    </w:p>
    <w:p w14:paraId="65A8CA1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lastRenderedPageBreak/>
        <w:t>Schools should make local arrangements to transfer resources for enrolment changes occurring during term.</w:t>
      </w:r>
    </w:p>
    <w:p w14:paraId="2C4CDB0C" w14:textId="5BAF2ED1" w:rsidR="00B846F8"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agreement has been reached that a student is enrolled and attends two schools, the allocation will be provided on a pro-rata basis consistent with the enrolment details contained in CASES21 and registered on PSDMS.</w:t>
      </w:r>
    </w:p>
    <w:p w14:paraId="6AA3DE8A" w14:textId="2B9D5370" w:rsidR="00985091" w:rsidRDefault="00985091"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D96BA77" w14:textId="77777777" w:rsidR="00985091" w:rsidRPr="000D106B" w:rsidRDefault="00985091"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2104487" w14:textId="23F5EB33"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 xml:space="preserve">Rates </w:t>
      </w:r>
      <w:r w:rsidRPr="00080034">
        <w:rPr>
          <w:rFonts w:ascii="VIC-Bold" w:eastAsia="Times New Roman" w:hAnsi="VIC-Bold" w:cs="Times New Roman" w:hint="eastAsia"/>
          <w:b/>
          <w:bCs/>
          <w:color w:val="011A3C"/>
          <w:sz w:val="24"/>
          <w:szCs w:val="24"/>
          <w:lang w:val="en" w:eastAsia="en-AU"/>
        </w:rPr>
        <w:t>—</w:t>
      </w:r>
      <w:r w:rsidRPr="00080034">
        <w:rPr>
          <w:rFonts w:ascii="VIC-Bold" w:eastAsia="Times New Roman" w:hAnsi="VIC-Bold" w:cs="Times New Roman"/>
          <w:b/>
          <w:bCs/>
          <w:color w:val="011A3C"/>
          <w:sz w:val="24"/>
          <w:szCs w:val="24"/>
          <w:lang w:val="en" w:eastAsia="en-AU"/>
        </w:rPr>
        <w:t xml:space="preserve"> 202</w:t>
      </w:r>
      <w:r w:rsidR="0073434C">
        <w:rPr>
          <w:rFonts w:ascii="VIC-Bold" w:eastAsia="Times New Roman" w:hAnsi="VIC-Bold" w:cs="Times New Roman"/>
          <w:b/>
          <w:bCs/>
          <w:color w:val="011A3C"/>
          <w:sz w:val="24"/>
          <w:szCs w:val="24"/>
          <w:lang w:val="en" w:eastAsia="en-AU"/>
        </w:rPr>
        <w:t>1</w:t>
      </w:r>
    </w:p>
    <w:p w14:paraId="3B0E3E15" w14:textId="77777777" w:rsidR="007F0F4A" w:rsidRDefault="00AD16F0" w:rsidP="0061578B">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C0C9D">
        <w:rPr>
          <w:rFonts w:ascii="VIC-Regular" w:eastAsia="Times New Roman" w:hAnsi="VIC-Regular" w:cs="Times New Roman"/>
          <w:color w:val="011A3C"/>
          <w:sz w:val="24"/>
          <w:szCs w:val="24"/>
          <w:lang w:val="en" w:eastAsia="en-AU"/>
        </w:rPr>
        <w:t xml:space="preserve">Level 1 —($) </w:t>
      </w:r>
      <w:r w:rsidR="002C0C9D" w:rsidRPr="002C0C9D">
        <w:rPr>
          <w:rFonts w:ascii="VIC-Regular" w:eastAsia="Times New Roman" w:hAnsi="VIC-Regular" w:cs="Times New Roman"/>
          <w:color w:val="011A3C"/>
          <w:sz w:val="24"/>
          <w:szCs w:val="24"/>
          <w:lang w:val="en" w:eastAsia="en-AU"/>
        </w:rPr>
        <w:t>7,773</w:t>
      </w:r>
    </w:p>
    <w:p w14:paraId="71EB7337" w14:textId="77777777" w:rsidR="007F0F4A" w:rsidRDefault="00AD16F0" w:rsidP="0061578B">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2 — ($) </w:t>
      </w:r>
      <w:r w:rsidR="009C610B" w:rsidRPr="009C610B">
        <w:rPr>
          <w:rFonts w:ascii="VIC-Regular" w:eastAsia="Times New Roman" w:hAnsi="VIC-Regular" w:cs="Times New Roman"/>
          <w:color w:val="011A3C"/>
          <w:sz w:val="24"/>
          <w:szCs w:val="24"/>
          <w:lang w:val="en" w:eastAsia="en-AU"/>
        </w:rPr>
        <w:t>17,978</w:t>
      </w:r>
    </w:p>
    <w:p w14:paraId="08D122B8" w14:textId="2C707955" w:rsidR="00AD16F0" w:rsidRPr="009C610B" w:rsidRDefault="00AD16F0" w:rsidP="0061578B">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3 — ($) </w:t>
      </w:r>
      <w:r w:rsidR="009C610B" w:rsidRPr="009C610B">
        <w:rPr>
          <w:rFonts w:ascii="VIC-Regular" w:eastAsia="Times New Roman" w:hAnsi="VIC-Regular" w:cs="Times New Roman"/>
          <w:color w:val="011A3C"/>
          <w:sz w:val="24"/>
          <w:szCs w:val="24"/>
          <w:lang w:val="en" w:eastAsia="en-AU"/>
        </w:rPr>
        <w:t>28,379</w:t>
      </w:r>
    </w:p>
    <w:p w14:paraId="5A2D9FA5" w14:textId="4CA7EEB2" w:rsidR="00AD16F0" w:rsidRPr="00394ED5" w:rsidRDefault="00AD16F0" w:rsidP="00080034">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Level 4 — ($) </w:t>
      </w:r>
      <w:r w:rsidR="009C610B" w:rsidRPr="009C610B">
        <w:rPr>
          <w:rFonts w:ascii="VIC-Regular" w:eastAsia="Times New Roman" w:hAnsi="VIC-Regular" w:cs="Times New Roman"/>
          <w:color w:val="011A3C"/>
          <w:sz w:val="24"/>
          <w:szCs w:val="24"/>
          <w:lang w:val="en" w:eastAsia="en-AU"/>
        </w:rPr>
        <w:t>38,732</w:t>
      </w:r>
    </w:p>
    <w:p w14:paraId="2842D62C" w14:textId="77777777" w:rsidR="007F0F4A" w:rsidRDefault="00AD16F0" w:rsidP="0061578B">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5 — ($) </w:t>
      </w:r>
      <w:r w:rsidR="009C610B" w:rsidRPr="009C610B">
        <w:rPr>
          <w:rFonts w:ascii="VIC-Regular" w:eastAsia="Times New Roman" w:hAnsi="VIC-Regular" w:cs="Times New Roman"/>
          <w:color w:val="011A3C"/>
          <w:sz w:val="24"/>
          <w:szCs w:val="24"/>
          <w:lang w:val="en" w:eastAsia="en-AU"/>
        </w:rPr>
        <w:t>49,005</w:t>
      </w:r>
    </w:p>
    <w:p w14:paraId="74989440" w14:textId="70AFEDCD" w:rsidR="0087250D" w:rsidRPr="009C610B" w:rsidRDefault="00AD16F0" w:rsidP="0061578B">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C610B">
        <w:rPr>
          <w:rFonts w:ascii="VIC-Regular" w:eastAsia="Times New Roman" w:hAnsi="VIC-Regular" w:cs="Times New Roman"/>
          <w:color w:val="011A3C"/>
          <w:sz w:val="24"/>
          <w:szCs w:val="24"/>
          <w:lang w:val="en" w:eastAsia="en-AU"/>
        </w:rPr>
        <w:t xml:space="preserve">Level 6 —  ($) </w:t>
      </w:r>
      <w:r w:rsidR="009C610B" w:rsidRPr="009C610B">
        <w:rPr>
          <w:rFonts w:ascii="VIC-Regular" w:eastAsia="Times New Roman" w:hAnsi="VIC-Regular" w:cs="Times New Roman"/>
          <w:color w:val="011A3C"/>
          <w:sz w:val="24"/>
          <w:szCs w:val="24"/>
          <w:lang w:val="en" w:eastAsia="en-AU"/>
        </w:rPr>
        <w:t>59,334</w:t>
      </w:r>
    </w:p>
    <w:p w14:paraId="3C65C6A6" w14:textId="77777777" w:rsidR="0087250D" w:rsidRPr="00865FB6" w:rsidRDefault="0087250D" w:rsidP="0087250D">
      <w:pPr>
        <w:rPr>
          <w:color w:val="323E4F" w:themeColor="text2" w:themeShade="BF"/>
          <w:lang w:val="en" w:eastAsia="en-AU"/>
        </w:rPr>
      </w:pPr>
      <w:r w:rsidRPr="00865FB6">
        <w:rPr>
          <w:color w:val="323E4F" w:themeColor="text2" w:themeShade="BF"/>
          <w:lang w:val="en" w:eastAsia="en-AU"/>
        </w:rPr>
        <w:t>Example a school with 5 Level 3 enrolments would calculate their funding as:</w:t>
      </w:r>
    </w:p>
    <w:p w14:paraId="278295DD" w14:textId="77777777" w:rsidR="0087250D" w:rsidRPr="00865FB6" w:rsidRDefault="0087250D" w:rsidP="0087250D">
      <w:pPr>
        <w:rPr>
          <w:color w:val="323E4F" w:themeColor="text2" w:themeShade="BF"/>
          <w:lang w:val="en" w:eastAsia="en-AU"/>
        </w:rPr>
      </w:pPr>
      <w:r w:rsidRPr="00865FB6">
        <w:rPr>
          <w:color w:val="323E4F" w:themeColor="text2" w:themeShade="BF"/>
          <w:lang w:val="en" w:eastAsia="en-AU"/>
        </w:rPr>
        <w:t>Level 3 enrolments (5) x Level 3 Rate</w:t>
      </w:r>
    </w:p>
    <w:p w14:paraId="46978D89" w14:textId="4CDD6408" w:rsidR="0087250D" w:rsidRPr="00865FB6" w:rsidRDefault="0087250D" w:rsidP="00AD16F0">
      <w:pPr>
        <w:rPr>
          <w:color w:val="323E4F" w:themeColor="text2" w:themeShade="BF"/>
          <w:lang w:val="en" w:eastAsia="en-AU"/>
        </w:rPr>
      </w:pPr>
      <w:r w:rsidRPr="00865FB6">
        <w:rPr>
          <w:color w:val="323E4F" w:themeColor="text2" w:themeShade="BF"/>
          <w:lang w:val="en" w:eastAsia="en-AU"/>
        </w:rPr>
        <w:t>This calculation will be repeated for all enrolment levels at the school.</w:t>
      </w:r>
    </w:p>
    <w:p w14:paraId="5B698EDD"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Important items to note:</w:t>
      </w:r>
    </w:p>
    <w:p w14:paraId="7B9A8DD2" w14:textId="77777777" w:rsidR="00AD16F0" w:rsidRPr="00394ED5" w:rsidRDefault="00AD16F0" w:rsidP="00080034">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Indicative SRP is based on PSD application and enrolment information as at Term 3 the year prior. Allocations are updated in the Confirmed SRP, capturing enrolment and application changes that occur between Term 3 and Term 1.</w:t>
      </w:r>
    </w:p>
    <w:p w14:paraId="733FB3D0" w14:textId="77777777" w:rsidR="00AD16F0" w:rsidRPr="00394ED5" w:rsidRDefault="00AD16F0" w:rsidP="00080034">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allocations should be reviewed termly in PSDMS (Resource Allocation Listing) and the SRP (Budget Details report), and any questions can be logged via the DET Service Gateway. Reconciliation requests can only be considered on a one-term basis. Requests for budget adjustments cannot be considered beyond the previous term.</w:t>
      </w:r>
    </w:p>
    <w:p w14:paraId="6DE21C95"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Further information</w:t>
      </w:r>
    </w:p>
    <w:p w14:paraId="166F813C" w14:textId="77777777" w:rsidR="00AD16F0" w:rsidRPr="00394ED5" w:rsidRDefault="007E3659"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6" w:history="1">
        <w:r w:rsidR="00AD16F0" w:rsidRPr="00394ED5">
          <w:rPr>
            <w:rFonts w:ascii="VIC-Regular" w:eastAsia="Times New Roman" w:hAnsi="VIC-Regular" w:cs="Times New Roman"/>
            <w:color w:val="011A3C"/>
            <w:sz w:val="24"/>
            <w:szCs w:val="24"/>
            <w:lang w:val="en" w:eastAsia="en-AU"/>
          </w:rPr>
          <w:t>Program for Students with Disabilities — guidelines for schools</w:t>
        </w:r>
      </w:hyperlink>
    </w:p>
    <w:p w14:paraId="4EBD8D13" w14:textId="77777777" w:rsidR="00AD16F0" w:rsidRPr="00394ED5" w:rsidRDefault="007E3659"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7" w:history="1">
        <w:r w:rsidR="00AD16F0" w:rsidRPr="00394ED5">
          <w:rPr>
            <w:rFonts w:ascii="VIC-Regular" w:eastAsia="Times New Roman" w:hAnsi="VIC-Regular" w:cs="Times New Roman"/>
            <w:color w:val="011A3C"/>
            <w:sz w:val="24"/>
            <w:szCs w:val="24"/>
            <w:lang w:val="en" w:eastAsia="en-AU"/>
          </w:rPr>
          <w:t>Student Support Groups</w:t>
        </w:r>
      </w:hyperlink>
    </w:p>
    <w:p w14:paraId="58D9E72B" w14:textId="77777777" w:rsidR="00AD16F0" w:rsidRPr="00394ED5" w:rsidRDefault="007E3659"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8" w:history="1">
        <w:r w:rsidR="00AD16F0" w:rsidRPr="00394ED5">
          <w:rPr>
            <w:rFonts w:ascii="VIC-Regular" w:eastAsia="Times New Roman" w:hAnsi="VIC-Regular" w:cs="Times New Roman"/>
            <w:color w:val="011A3C"/>
            <w:sz w:val="24"/>
            <w:szCs w:val="24"/>
            <w:lang w:val="en" w:eastAsia="en-AU"/>
          </w:rPr>
          <w:t>Program for Students with Disabilities Management System (PSDMS) — information and user guides</w:t>
        </w:r>
      </w:hyperlink>
      <w:r w:rsidR="00AD16F0" w:rsidRPr="00394ED5">
        <w:rPr>
          <w:rFonts w:ascii="VIC-Regular" w:eastAsia="Times New Roman" w:hAnsi="VIC-Regular" w:cs="Times New Roman"/>
          <w:color w:val="011A3C"/>
          <w:sz w:val="24"/>
          <w:szCs w:val="24"/>
          <w:lang w:val="en" w:eastAsia="en-AU"/>
        </w:rPr>
        <w:t xml:space="preserve"> </w:t>
      </w:r>
    </w:p>
    <w:p w14:paraId="3A865196" w14:textId="77777777" w:rsidR="00AD16F0" w:rsidRPr="00394ED5" w:rsidRDefault="007E3659" w:rsidP="00080034">
      <w:pPr>
        <w:numPr>
          <w:ilvl w:val="1"/>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9" w:history="1">
        <w:r w:rsidR="00AD16F0" w:rsidRPr="00394ED5">
          <w:rPr>
            <w:rFonts w:ascii="VIC-Regular" w:eastAsia="Times New Roman" w:hAnsi="VIC-Regular" w:cs="Times New Roman"/>
            <w:color w:val="011A3C"/>
            <w:sz w:val="24"/>
            <w:szCs w:val="24"/>
            <w:lang w:val="en" w:eastAsia="en-AU"/>
          </w:rPr>
          <w:t>PSDMS log in (for registered users)</w:t>
        </w:r>
      </w:hyperlink>
    </w:p>
    <w:p w14:paraId="4DF4AFB9" w14:textId="77777777" w:rsidR="00AD16F0" w:rsidRPr="00394ED5" w:rsidRDefault="007E3659"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30" w:history="1">
        <w:r w:rsidR="00AD16F0" w:rsidRPr="00394ED5">
          <w:rPr>
            <w:rFonts w:ascii="VIC-Regular" w:eastAsia="Times New Roman" w:hAnsi="VIC-Regular" w:cs="Times New Roman"/>
            <w:color w:val="011A3C"/>
            <w:sz w:val="24"/>
            <w:szCs w:val="24"/>
            <w:lang w:val="en" w:eastAsia="en-AU"/>
          </w:rPr>
          <w:t>DET Service Gateway</w:t>
        </w:r>
      </w:hyperlink>
    </w:p>
    <w:p w14:paraId="10111DAB" w14:textId="77777777" w:rsidR="00A12061" w:rsidRDefault="00A12061">
      <w:pPr>
        <w:rPr>
          <w:rFonts w:asciiTheme="majorHAnsi" w:eastAsia="Times New Roman" w:hAnsiTheme="majorHAnsi" w:cstheme="majorBidi"/>
          <w:b/>
          <w:color w:val="2F5496" w:themeColor="accent1" w:themeShade="BF"/>
          <w:sz w:val="36"/>
          <w:szCs w:val="26"/>
          <w:lang w:val="en" w:eastAsia="en-AU"/>
        </w:rPr>
      </w:pPr>
      <w:r>
        <w:br w:type="page"/>
      </w:r>
    </w:p>
    <w:p w14:paraId="314B5FAA" w14:textId="09AB6A13" w:rsidR="00AD16F0" w:rsidRPr="00394ED5" w:rsidRDefault="00AD16F0" w:rsidP="00842992">
      <w:pPr>
        <w:pStyle w:val="Heading2"/>
      </w:pPr>
      <w:bookmarkStart w:id="24" w:name="_Toc52796182"/>
      <w:r w:rsidRPr="00394ED5">
        <w:lastRenderedPageBreak/>
        <w:t>Special School Complexity Allowance (Reference 18)</w:t>
      </w:r>
      <w:bookmarkEnd w:id="24"/>
    </w:p>
    <w:p w14:paraId="33A1CC2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school complexity allowance will apply to specialist schools receiving per capita student based core index and Program for Student with Disabilities level 1-6 allocations.</w:t>
      </w:r>
    </w:p>
    <w:p w14:paraId="6122EF3A"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school complexity allowance is calculated once a year (confirmed budget cycle) by multiplying the Core Index enrolment totals (Reference 5) by a school specific index point from the chart below. The index point is determined by calculating the weighted mean of the Students with Disabilities index levels 1-6 in the school at February census.</w:t>
      </w:r>
    </w:p>
    <w:p w14:paraId="1440813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An example of the Special School Complexity Allowance calculation can be seen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5"/>
        <w:gridCol w:w="1881"/>
        <w:gridCol w:w="5220"/>
      </w:tblGrid>
      <w:tr w:rsidR="00371B75" w:rsidRPr="00371B75" w14:paraId="43172051" w14:textId="77777777" w:rsidTr="00080034">
        <w:tc>
          <w:tcPr>
            <w:tcW w:w="0" w:type="auto"/>
            <w:gridSpan w:val="3"/>
            <w:vAlign w:val="center"/>
            <w:hideMark/>
          </w:tcPr>
          <w:p w14:paraId="09A96868" w14:textId="7602B047" w:rsidR="00AD16F0" w:rsidRPr="00371B75"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Example </w:t>
            </w:r>
            <w:r w:rsidRPr="00371B75">
              <w:rPr>
                <w:rFonts w:ascii="VIC-Bold" w:eastAsia="Times New Roman" w:hAnsi="VIC-Bold" w:cs="Times New Roman"/>
                <w:color w:val="323E4F" w:themeColor="text2" w:themeShade="BF"/>
                <w:sz w:val="24"/>
                <w:szCs w:val="24"/>
                <w:lang w:eastAsia="en-AU"/>
              </w:rPr>
              <w:t>— Special School Complexity Allowance calculation</w:t>
            </w:r>
            <w:r w:rsidR="007667A1" w:rsidRPr="00371B75">
              <w:rPr>
                <w:rFonts w:ascii="VIC-Bold" w:eastAsia="Times New Roman" w:hAnsi="VIC-Bold" w:cs="Times New Roman"/>
                <w:color w:val="323E4F" w:themeColor="text2" w:themeShade="BF"/>
                <w:sz w:val="24"/>
                <w:szCs w:val="24"/>
                <w:lang w:eastAsia="en-AU"/>
              </w:rPr>
              <w:t xml:space="preserve"> to derive the index point</w:t>
            </w:r>
          </w:p>
        </w:tc>
      </w:tr>
      <w:tr w:rsidR="00371B75" w:rsidRPr="00371B75" w14:paraId="5BA40CBF" w14:textId="77777777" w:rsidTr="00080034">
        <w:tc>
          <w:tcPr>
            <w:tcW w:w="0" w:type="auto"/>
            <w:hideMark/>
          </w:tcPr>
          <w:p w14:paraId="693FA8A7"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PSD Level</w:t>
            </w:r>
          </w:p>
        </w:tc>
        <w:tc>
          <w:tcPr>
            <w:tcW w:w="0" w:type="auto"/>
            <w:hideMark/>
          </w:tcPr>
          <w:p w14:paraId="4A35F7B8" w14:textId="7777777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No of Students</w:t>
            </w:r>
          </w:p>
        </w:tc>
        <w:tc>
          <w:tcPr>
            <w:tcW w:w="0" w:type="auto"/>
            <w:hideMark/>
          </w:tcPr>
          <w:p w14:paraId="136D1AA6" w14:textId="66CF72D7" w:rsidR="00AD16F0" w:rsidRPr="00371B75"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 xml:space="preserve">Weighting Value </w:t>
            </w:r>
            <w:r w:rsidR="007667A1" w:rsidRPr="00371B75">
              <w:rPr>
                <w:rFonts w:ascii="VIC-Bold" w:eastAsia="Times New Roman" w:hAnsi="VIC-Bold" w:cs="Times New Roman"/>
                <w:color w:val="323E4F" w:themeColor="text2" w:themeShade="BF"/>
                <w:sz w:val="24"/>
                <w:szCs w:val="24"/>
                <w:lang w:eastAsia="en-AU"/>
              </w:rPr>
              <w:t>PSD Level x No. of Students</w:t>
            </w:r>
          </w:p>
        </w:tc>
      </w:tr>
      <w:tr w:rsidR="00371B75" w:rsidRPr="00371B75" w14:paraId="34FEBC4C" w14:textId="77777777" w:rsidTr="00080034">
        <w:tc>
          <w:tcPr>
            <w:tcW w:w="0" w:type="auto"/>
            <w:hideMark/>
          </w:tcPr>
          <w:p w14:paraId="3F89EF4D"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29AE36BD"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w:t>
            </w:r>
          </w:p>
        </w:tc>
        <w:tc>
          <w:tcPr>
            <w:tcW w:w="0" w:type="auto"/>
            <w:hideMark/>
          </w:tcPr>
          <w:p w14:paraId="1B76BB5E"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w:t>
            </w:r>
          </w:p>
        </w:tc>
      </w:tr>
      <w:tr w:rsidR="00371B75" w:rsidRPr="00371B75" w14:paraId="095AA27B" w14:textId="77777777" w:rsidTr="00080034">
        <w:tc>
          <w:tcPr>
            <w:tcW w:w="0" w:type="auto"/>
            <w:hideMark/>
          </w:tcPr>
          <w:p w14:paraId="2B8A7D76"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7AFBE723"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w:t>
            </w:r>
          </w:p>
        </w:tc>
        <w:tc>
          <w:tcPr>
            <w:tcW w:w="0" w:type="auto"/>
            <w:hideMark/>
          </w:tcPr>
          <w:p w14:paraId="2CDF30A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w:t>
            </w:r>
          </w:p>
        </w:tc>
      </w:tr>
      <w:tr w:rsidR="00371B75" w:rsidRPr="00371B75" w14:paraId="6E0F9461" w14:textId="77777777" w:rsidTr="00080034">
        <w:tc>
          <w:tcPr>
            <w:tcW w:w="0" w:type="auto"/>
            <w:hideMark/>
          </w:tcPr>
          <w:p w14:paraId="75180F6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37144155"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1F1B1C0B"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w:t>
            </w:r>
          </w:p>
        </w:tc>
      </w:tr>
      <w:tr w:rsidR="00371B75" w:rsidRPr="00371B75" w14:paraId="12A1C9CF" w14:textId="77777777" w:rsidTr="00080034">
        <w:tc>
          <w:tcPr>
            <w:tcW w:w="0" w:type="auto"/>
            <w:hideMark/>
          </w:tcPr>
          <w:p w14:paraId="66BC4AE4"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w:t>
            </w:r>
          </w:p>
        </w:tc>
        <w:tc>
          <w:tcPr>
            <w:tcW w:w="0" w:type="auto"/>
            <w:hideMark/>
          </w:tcPr>
          <w:p w14:paraId="6091FE31"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5BD1972F"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p>
        </w:tc>
      </w:tr>
      <w:tr w:rsidR="00371B75" w:rsidRPr="00371B75" w14:paraId="37C82F72" w14:textId="77777777" w:rsidTr="00080034">
        <w:tc>
          <w:tcPr>
            <w:tcW w:w="0" w:type="auto"/>
            <w:hideMark/>
          </w:tcPr>
          <w:p w14:paraId="63C7B49B"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7F68972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6A7C25EF"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w:t>
            </w:r>
          </w:p>
        </w:tc>
      </w:tr>
      <w:tr w:rsidR="00371B75" w:rsidRPr="00371B75" w14:paraId="3DF263E7" w14:textId="77777777" w:rsidTr="00080034">
        <w:tc>
          <w:tcPr>
            <w:tcW w:w="0" w:type="auto"/>
            <w:hideMark/>
          </w:tcPr>
          <w:p w14:paraId="15D0F84A"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w:t>
            </w:r>
          </w:p>
        </w:tc>
        <w:tc>
          <w:tcPr>
            <w:tcW w:w="0" w:type="auto"/>
            <w:hideMark/>
          </w:tcPr>
          <w:p w14:paraId="0CD1FA7D"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w:t>
            </w:r>
          </w:p>
        </w:tc>
        <w:tc>
          <w:tcPr>
            <w:tcW w:w="0" w:type="auto"/>
            <w:hideMark/>
          </w:tcPr>
          <w:p w14:paraId="6E834B73" w14:textId="0F74D2AF"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w:t>
            </w:r>
          </w:p>
        </w:tc>
      </w:tr>
      <w:tr w:rsidR="00371B75" w:rsidRPr="00371B75" w14:paraId="316EE53E" w14:textId="77777777" w:rsidTr="00080034">
        <w:tc>
          <w:tcPr>
            <w:tcW w:w="0" w:type="auto"/>
            <w:hideMark/>
          </w:tcPr>
          <w:p w14:paraId="16EF68C4" w14:textId="3F7595CC" w:rsidR="00AD16F0" w:rsidRPr="00371B75" w:rsidRDefault="007667A1"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of Students</w:t>
            </w:r>
          </w:p>
        </w:tc>
        <w:tc>
          <w:tcPr>
            <w:tcW w:w="0" w:type="auto"/>
            <w:hideMark/>
          </w:tcPr>
          <w:p w14:paraId="7992E47E"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w:t>
            </w:r>
          </w:p>
        </w:tc>
        <w:tc>
          <w:tcPr>
            <w:tcW w:w="0" w:type="auto"/>
            <w:hideMark/>
          </w:tcPr>
          <w:p w14:paraId="1354A5F2" w14:textId="77777777" w:rsidR="00AD16F0" w:rsidRPr="00371B75"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130</w:t>
            </w:r>
          </w:p>
        </w:tc>
      </w:tr>
    </w:tbl>
    <w:p w14:paraId="468977FB" w14:textId="4E9BCD48" w:rsidR="00AD16F0" w:rsidRPr="00394ED5" w:rsidRDefault="007667A1"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71B75">
        <w:rPr>
          <w:rFonts w:ascii="VIC-Regular" w:eastAsia="Times New Roman" w:hAnsi="VIC-Regular" w:cs="Times New Roman"/>
          <w:color w:val="323E4F" w:themeColor="text2" w:themeShade="BF"/>
          <w:sz w:val="24"/>
          <w:szCs w:val="24"/>
          <w:lang w:val="en" w:eastAsia="en-AU"/>
        </w:rPr>
        <w:t>Index Point = 130 (weighted value)/ 45 (no. of students) = 2.9</w:t>
      </w:r>
      <w:r w:rsidR="00AD16F0" w:rsidRPr="00371B75">
        <w:rPr>
          <w:rFonts w:ascii="VIC-Regular" w:eastAsia="Times New Roman" w:hAnsi="VIC-Regular" w:cs="Times New Roman"/>
          <w:color w:val="323E4F" w:themeColor="text2" w:themeShade="BF"/>
          <w:sz w:val="24"/>
          <w:szCs w:val="24"/>
          <w:lang w:val="en" w:eastAsia="en-AU"/>
        </w:rPr>
        <w:t>Supplemen</w:t>
      </w:r>
      <w:r w:rsidR="00AD16F0" w:rsidRPr="00394ED5">
        <w:rPr>
          <w:rFonts w:ascii="VIC-Regular" w:eastAsia="Times New Roman" w:hAnsi="VIC-Regular" w:cs="Times New Roman"/>
          <w:color w:val="011A3C"/>
          <w:sz w:val="24"/>
          <w:szCs w:val="24"/>
          <w:lang w:val="en" w:eastAsia="en-AU"/>
        </w:rPr>
        <w:t xml:space="preserve">tation per student = </w:t>
      </w:r>
      <w:r w:rsidR="00C9456F">
        <w:rPr>
          <w:rFonts w:ascii="VIC-Regular" w:eastAsia="Times New Roman" w:hAnsi="VIC-Regular" w:cs="Times New Roman"/>
          <w:color w:val="011A3C"/>
          <w:sz w:val="24"/>
          <w:szCs w:val="24"/>
          <w:lang w:val="en" w:eastAsia="en-AU"/>
        </w:rPr>
        <w:t>$949.10</w:t>
      </w:r>
      <w:r w:rsidR="00AD16F0" w:rsidRPr="00394ED5">
        <w:rPr>
          <w:rFonts w:ascii="VIC-Regular" w:eastAsia="Times New Roman" w:hAnsi="VIC-Regular" w:cs="Times New Roman"/>
          <w:color w:val="011A3C"/>
          <w:sz w:val="24"/>
          <w:szCs w:val="24"/>
          <w:lang w:val="en" w:eastAsia="en-AU"/>
        </w:rPr>
        <w:t xml:space="preserve"> (from rates table</w:t>
      </w:r>
      <w:r w:rsidRPr="007667A1">
        <w:t xml:space="preserve"> </w:t>
      </w:r>
      <w:r w:rsidRPr="007667A1">
        <w:rPr>
          <w:rFonts w:ascii="VIC-Regular" w:eastAsia="Times New Roman" w:hAnsi="VIC-Regular" w:cs="Times New Roman"/>
          <w:color w:val="011A3C"/>
          <w:sz w:val="24"/>
          <w:szCs w:val="24"/>
          <w:lang w:val="en" w:eastAsia="en-AU"/>
        </w:rPr>
        <w:t>for index point 2.9)</w:t>
      </w:r>
      <w:r w:rsidR="00AD16F0" w:rsidRPr="00394ED5">
        <w:rPr>
          <w:rFonts w:ascii="VIC-Regular" w:eastAsia="Times New Roman" w:hAnsi="VIC-Regular" w:cs="Times New Roman"/>
          <w:color w:val="011A3C"/>
          <w:sz w:val="24"/>
          <w:szCs w:val="24"/>
          <w:lang w:val="en" w:eastAsia="en-AU"/>
        </w:rPr>
        <w:t>)</w:t>
      </w:r>
    </w:p>
    <w:p w14:paraId="22CCBD0A" w14:textId="267196C5"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Special School Complexity Allowance = </w:t>
      </w:r>
      <w:r w:rsidR="00C9456F">
        <w:rPr>
          <w:rFonts w:ascii="VIC-Regular" w:eastAsia="Times New Roman" w:hAnsi="VIC-Regular" w:cs="Times New Roman"/>
          <w:color w:val="011A3C"/>
          <w:sz w:val="24"/>
          <w:szCs w:val="24"/>
          <w:lang w:val="en" w:eastAsia="en-AU"/>
        </w:rPr>
        <w:t xml:space="preserve">$949.10 </w:t>
      </w:r>
      <w:r w:rsidRPr="00394ED5">
        <w:rPr>
          <w:rFonts w:ascii="VIC-Regular" w:eastAsia="Times New Roman" w:hAnsi="VIC-Regular" w:cs="Times New Roman"/>
          <w:color w:val="011A3C"/>
          <w:sz w:val="24"/>
          <w:szCs w:val="24"/>
          <w:lang w:val="en" w:eastAsia="en-AU"/>
        </w:rPr>
        <w:t xml:space="preserve">x 45 = </w:t>
      </w:r>
      <w:r w:rsidR="00C9456F">
        <w:rPr>
          <w:rFonts w:ascii="VIC-Regular" w:eastAsia="Times New Roman" w:hAnsi="VIC-Regular" w:cs="Times New Roman"/>
          <w:color w:val="011A3C"/>
          <w:sz w:val="24"/>
          <w:szCs w:val="24"/>
          <w:lang w:val="en" w:eastAsia="en-AU"/>
        </w:rPr>
        <w:t>$42,709.50</w:t>
      </w:r>
    </w:p>
    <w:p w14:paraId="237CEED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Eligibility</w:t>
      </w:r>
    </w:p>
    <w:p w14:paraId="0AE38F84" w14:textId="0419002E"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the following campus types are eligible for</w:t>
      </w:r>
      <w:r w:rsidR="009758B9">
        <w:rPr>
          <w:rFonts w:ascii="VIC-Regular" w:hAnsi="VIC-Regular"/>
          <w:color w:val="011A3C"/>
          <w:lang w:val="en"/>
        </w:rPr>
        <w:t xml:space="preserve"> the specialist school complexity allowance.</w:t>
      </w:r>
    </w:p>
    <w:tbl>
      <w:tblPr>
        <w:tblW w:w="5000" w:type="pct"/>
        <w:tblCellMar>
          <w:top w:w="15" w:type="dxa"/>
          <w:left w:w="15" w:type="dxa"/>
          <w:bottom w:w="15" w:type="dxa"/>
          <w:right w:w="15" w:type="dxa"/>
        </w:tblCellMar>
        <w:tblLook w:val="04A0" w:firstRow="1" w:lastRow="0" w:firstColumn="1" w:lastColumn="0" w:noHBand="0" w:noVBand="1"/>
      </w:tblPr>
      <w:tblGrid>
        <w:gridCol w:w="1810"/>
        <w:gridCol w:w="7216"/>
      </w:tblGrid>
      <w:tr w:rsidR="00AD16F0" w:rsidRPr="00394ED5" w14:paraId="547DA189" w14:textId="77777777" w:rsidTr="00AD16F0">
        <w:tc>
          <w:tcPr>
            <w:tcW w:w="0" w:type="auto"/>
            <w:hideMark/>
          </w:tcPr>
          <w:p w14:paraId="57057386" w14:textId="77777777" w:rsidR="00AD16F0" w:rsidRPr="00371B75" w:rsidRDefault="00AD16F0" w:rsidP="00AD16F0">
            <w:pPr>
              <w:spacing w:after="0" w:line="360" w:lineRule="atLeast"/>
              <w:rPr>
                <w:rFonts w:ascii="VIC-Regular" w:eastAsia="Times New Roman" w:hAnsi="VIC-Regular" w:cs="Times New Roman"/>
                <w:b/>
                <w:bCs/>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Type</w:t>
            </w:r>
          </w:p>
        </w:tc>
        <w:tc>
          <w:tcPr>
            <w:tcW w:w="0" w:type="auto"/>
            <w:hideMark/>
          </w:tcPr>
          <w:p w14:paraId="072DBAD8"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Day Special</w:t>
            </w:r>
            <w:r w:rsidRPr="00371B75">
              <w:rPr>
                <w:rFonts w:ascii="VIC-Regular" w:eastAsia="Times New Roman" w:hAnsi="VIC-Regular" w:cs="Times New Roman"/>
                <w:color w:val="323E4F" w:themeColor="text2" w:themeShade="BF"/>
                <w:sz w:val="24"/>
                <w:szCs w:val="24"/>
                <w:lang w:eastAsia="en-AU"/>
              </w:rPr>
              <w:br/>
              <w:t>Special Development</w:t>
            </w:r>
          </w:p>
          <w:p w14:paraId="006597CF" w14:textId="77777777" w:rsidR="00AD16F0" w:rsidRPr="00371B75"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p>
        </w:tc>
      </w:tr>
    </w:tbl>
    <w:p w14:paraId="72AAED9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lastRenderedPageBreak/>
        <w:t>Calculation</w:t>
      </w:r>
    </w:p>
    <w:p w14:paraId="2269CCD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 School Complexity Allowance = Core Index enrolment × Supplementation per Student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8"/>
        <w:gridCol w:w="2258"/>
        <w:gridCol w:w="747"/>
        <w:gridCol w:w="2258"/>
        <w:gridCol w:w="747"/>
        <w:gridCol w:w="2258"/>
      </w:tblGrid>
      <w:tr w:rsidR="00371B75" w:rsidRPr="00371B75" w14:paraId="247547F3" w14:textId="77777777" w:rsidTr="006C7CCA">
        <w:trPr>
          <w:tblHeader/>
          <w:jc w:val="center"/>
        </w:trPr>
        <w:tc>
          <w:tcPr>
            <w:tcW w:w="0" w:type="auto"/>
            <w:gridSpan w:val="6"/>
            <w:vAlign w:val="center"/>
            <w:hideMark/>
          </w:tcPr>
          <w:p w14:paraId="4FE522CF" w14:textId="6EB1B82A" w:rsidR="00AD16F0" w:rsidRPr="00371B75" w:rsidRDefault="007667A1" w:rsidP="00AD16F0">
            <w:pPr>
              <w:spacing w:after="0" w:line="360" w:lineRule="atLeast"/>
              <w:textAlignment w:val="top"/>
              <w:rPr>
                <w:rFonts w:ascii="VIC-Regular" w:eastAsia="Times New Roman" w:hAnsi="VIC-Regular" w:cs="Times New Roman"/>
                <w:b/>
                <w:bCs/>
                <w:color w:val="323E4F" w:themeColor="text2" w:themeShade="BF"/>
                <w:sz w:val="24"/>
                <w:szCs w:val="24"/>
                <w:lang w:eastAsia="en-AU"/>
              </w:rPr>
            </w:pPr>
            <w:r w:rsidRPr="00371B75">
              <w:rPr>
                <w:rFonts w:ascii="VIC-Regular" w:eastAsia="Times New Roman" w:hAnsi="VIC-Regular" w:cs="Times New Roman"/>
                <w:b/>
                <w:bCs/>
                <w:color w:val="323E4F" w:themeColor="text2" w:themeShade="BF"/>
                <w:sz w:val="24"/>
                <w:szCs w:val="24"/>
                <w:lang w:eastAsia="en-AU"/>
              </w:rPr>
              <w:t xml:space="preserve">Index Point </w:t>
            </w:r>
            <w:r w:rsidR="00AD16F0" w:rsidRPr="00371B75">
              <w:rPr>
                <w:rFonts w:ascii="VIC-Regular" w:eastAsia="Times New Roman" w:hAnsi="VIC-Regular" w:cs="Times New Roman"/>
                <w:b/>
                <w:bCs/>
                <w:color w:val="323E4F" w:themeColor="text2" w:themeShade="BF"/>
                <w:sz w:val="24"/>
                <w:szCs w:val="24"/>
                <w:lang w:eastAsia="en-AU"/>
              </w:rPr>
              <w:t xml:space="preserve">Rates </w:t>
            </w:r>
            <w:r w:rsidR="00AD16F0" w:rsidRPr="00371B75">
              <w:rPr>
                <w:rFonts w:ascii="VIC-Regular" w:eastAsia="Times New Roman" w:hAnsi="VIC-Regular" w:cs="Times New Roman" w:hint="eastAsia"/>
                <w:b/>
                <w:bCs/>
                <w:color w:val="323E4F" w:themeColor="text2" w:themeShade="BF"/>
                <w:sz w:val="24"/>
                <w:szCs w:val="24"/>
                <w:lang w:eastAsia="en-AU"/>
              </w:rPr>
              <w:t>—</w:t>
            </w:r>
            <w:r w:rsidR="00AD16F0" w:rsidRPr="00371B75">
              <w:rPr>
                <w:rFonts w:ascii="VIC-Regular" w:eastAsia="Times New Roman" w:hAnsi="VIC-Regular" w:cs="Times New Roman"/>
                <w:b/>
                <w:bCs/>
                <w:color w:val="323E4F" w:themeColor="text2" w:themeShade="BF"/>
                <w:sz w:val="24"/>
                <w:szCs w:val="24"/>
                <w:lang w:eastAsia="en-AU"/>
              </w:rPr>
              <w:t xml:space="preserve"> 202</w:t>
            </w:r>
            <w:r w:rsidRPr="00371B75">
              <w:rPr>
                <w:rFonts w:ascii="VIC-Regular" w:eastAsia="Times New Roman" w:hAnsi="VIC-Regular" w:cs="Times New Roman"/>
                <w:b/>
                <w:bCs/>
                <w:color w:val="323E4F" w:themeColor="text2" w:themeShade="BF"/>
                <w:sz w:val="24"/>
                <w:szCs w:val="24"/>
                <w:lang w:eastAsia="en-AU"/>
              </w:rPr>
              <w:t>1</w:t>
            </w:r>
          </w:p>
        </w:tc>
      </w:tr>
      <w:tr w:rsidR="00371B75" w:rsidRPr="00371B75" w14:paraId="7FA3AD1F" w14:textId="77777777" w:rsidTr="006C7CCA">
        <w:trPr>
          <w:tblHeader/>
          <w:jc w:val="center"/>
        </w:trPr>
        <w:tc>
          <w:tcPr>
            <w:tcW w:w="0" w:type="auto"/>
            <w:hideMark/>
          </w:tcPr>
          <w:p w14:paraId="42560C92"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Index Point</w:t>
            </w:r>
          </w:p>
        </w:tc>
        <w:tc>
          <w:tcPr>
            <w:tcW w:w="0" w:type="auto"/>
            <w:hideMark/>
          </w:tcPr>
          <w:p w14:paraId="7A2D07F7"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2C978126"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Index Point</w:t>
            </w:r>
          </w:p>
        </w:tc>
        <w:tc>
          <w:tcPr>
            <w:tcW w:w="0" w:type="auto"/>
            <w:hideMark/>
          </w:tcPr>
          <w:p w14:paraId="4B42505E"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4A11FD84"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Index Point</w:t>
            </w:r>
          </w:p>
        </w:tc>
        <w:tc>
          <w:tcPr>
            <w:tcW w:w="0" w:type="auto"/>
            <w:hideMark/>
          </w:tcPr>
          <w:p w14:paraId="2F3782DA" w14:textId="77777777" w:rsidR="00AD16F0" w:rsidRPr="00371B75"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Supplementation per Student ($)</w:t>
            </w:r>
          </w:p>
        </w:tc>
      </w:tr>
      <w:tr w:rsidR="00371B75" w:rsidRPr="00371B75" w14:paraId="0496726F" w14:textId="77777777" w:rsidTr="006C7CCA">
        <w:trPr>
          <w:jc w:val="center"/>
        </w:trPr>
        <w:tc>
          <w:tcPr>
            <w:tcW w:w="0" w:type="auto"/>
            <w:hideMark/>
          </w:tcPr>
          <w:p w14:paraId="45358CDA"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w:t>
            </w:r>
          </w:p>
        </w:tc>
        <w:tc>
          <w:tcPr>
            <w:tcW w:w="0" w:type="auto"/>
            <w:hideMark/>
          </w:tcPr>
          <w:p w14:paraId="32695426" w14:textId="32F310B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242.80</w:t>
            </w:r>
          </w:p>
        </w:tc>
        <w:tc>
          <w:tcPr>
            <w:tcW w:w="0" w:type="auto"/>
            <w:hideMark/>
          </w:tcPr>
          <w:p w14:paraId="0DCDFE3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w:t>
            </w:r>
          </w:p>
        </w:tc>
        <w:tc>
          <w:tcPr>
            <w:tcW w:w="0" w:type="auto"/>
            <w:hideMark/>
          </w:tcPr>
          <w:p w14:paraId="329D3CBF" w14:textId="31D597F2"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874.80</w:t>
            </w:r>
          </w:p>
        </w:tc>
        <w:tc>
          <w:tcPr>
            <w:tcW w:w="0" w:type="auto"/>
            <w:hideMark/>
          </w:tcPr>
          <w:p w14:paraId="553045E6"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4.4</w:t>
            </w:r>
          </w:p>
        </w:tc>
        <w:tc>
          <w:tcPr>
            <w:tcW w:w="0" w:type="auto"/>
            <w:hideMark/>
          </w:tcPr>
          <w:p w14:paraId="37F67294" w14:textId="6A32F9B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1,506.80</w:t>
            </w:r>
          </w:p>
        </w:tc>
      </w:tr>
      <w:tr w:rsidR="00371B75" w:rsidRPr="00371B75" w14:paraId="033A8E7E" w14:textId="77777777" w:rsidTr="006C7CCA">
        <w:trPr>
          <w:jc w:val="center"/>
        </w:trPr>
        <w:tc>
          <w:tcPr>
            <w:tcW w:w="0" w:type="auto"/>
            <w:hideMark/>
          </w:tcPr>
          <w:p w14:paraId="1AB0B78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w:t>
            </w:r>
          </w:p>
        </w:tc>
        <w:tc>
          <w:tcPr>
            <w:tcW w:w="0" w:type="auto"/>
            <w:hideMark/>
          </w:tcPr>
          <w:p w14:paraId="087EBB60" w14:textId="40A3341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279.90</w:t>
            </w:r>
          </w:p>
        </w:tc>
        <w:tc>
          <w:tcPr>
            <w:tcW w:w="0" w:type="auto"/>
            <w:hideMark/>
          </w:tcPr>
          <w:p w14:paraId="00E6FDD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w:t>
            </w:r>
          </w:p>
        </w:tc>
        <w:tc>
          <w:tcPr>
            <w:tcW w:w="0" w:type="auto"/>
            <w:hideMark/>
          </w:tcPr>
          <w:p w14:paraId="38A5AC4D" w14:textId="5012B9F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911.90</w:t>
            </w:r>
          </w:p>
        </w:tc>
        <w:tc>
          <w:tcPr>
            <w:tcW w:w="0" w:type="auto"/>
            <w:hideMark/>
          </w:tcPr>
          <w:p w14:paraId="46CFD57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4.5</w:t>
            </w:r>
          </w:p>
        </w:tc>
        <w:tc>
          <w:tcPr>
            <w:tcW w:w="0" w:type="auto"/>
            <w:hideMark/>
          </w:tcPr>
          <w:p w14:paraId="2E3D5D8C" w14:textId="7975F20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1,543.90</w:t>
            </w:r>
          </w:p>
        </w:tc>
      </w:tr>
      <w:tr w:rsidR="00371B75" w:rsidRPr="00371B75" w14:paraId="2D013839" w14:textId="77777777" w:rsidTr="006C7CCA">
        <w:trPr>
          <w:jc w:val="center"/>
        </w:trPr>
        <w:tc>
          <w:tcPr>
            <w:tcW w:w="0" w:type="auto"/>
            <w:hideMark/>
          </w:tcPr>
          <w:p w14:paraId="787927F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w:t>
            </w:r>
          </w:p>
        </w:tc>
        <w:tc>
          <w:tcPr>
            <w:tcW w:w="0" w:type="auto"/>
            <w:hideMark/>
          </w:tcPr>
          <w:p w14:paraId="5AFE8D9D" w14:textId="3CD1FB10"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317.10</w:t>
            </w:r>
          </w:p>
        </w:tc>
        <w:tc>
          <w:tcPr>
            <w:tcW w:w="0" w:type="auto"/>
            <w:hideMark/>
          </w:tcPr>
          <w:p w14:paraId="728BA60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2.9</w:t>
            </w:r>
          </w:p>
        </w:tc>
        <w:tc>
          <w:tcPr>
            <w:tcW w:w="0" w:type="auto"/>
            <w:hideMark/>
          </w:tcPr>
          <w:p w14:paraId="726CA318" w14:textId="5E99617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949.10</w:t>
            </w:r>
          </w:p>
        </w:tc>
        <w:tc>
          <w:tcPr>
            <w:tcW w:w="0" w:type="auto"/>
            <w:hideMark/>
          </w:tcPr>
          <w:p w14:paraId="4CB9C00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4.6</w:t>
            </w:r>
          </w:p>
        </w:tc>
        <w:tc>
          <w:tcPr>
            <w:tcW w:w="0" w:type="auto"/>
            <w:hideMark/>
          </w:tcPr>
          <w:p w14:paraId="0D08FDE7" w14:textId="3D3CE51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1,581.10</w:t>
            </w:r>
          </w:p>
        </w:tc>
      </w:tr>
      <w:tr w:rsidR="00371B75" w:rsidRPr="00371B75" w14:paraId="4AC88BEC" w14:textId="77777777" w:rsidTr="006C7CCA">
        <w:trPr>
          <w:jc w:val="center"/>
        </w:trPr>
        <w:tc>
          <w:tcPr>
            <w:tcW w:w="0" w:type="auto"/>
            <w:hideMark/>
          </w:tcPr>
          <w:p w14:paraId="22D6AA1E"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w:t>
            </w:r>
          </w:p>
        </w:tc>
        <w:tc>
          <w:tcPr>
            <w:tcW w:w="0" w:type="auto"/>
            <w:hideMark/>
          </w:tcPr>
          <w:p w14:paraId="2048F859" w14:textId="642DEC3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354.30</w:t>
            </w:r>
          </w:p>
        </w:tc>
        <w:tc>
          <w:tcPr>
            <w:tcW w:w="0" w:type="auto"/>
            <w:hideMark/>
          </w:tcPr>
          <w:p w14:paraId="2A6C31B2"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w:t>
            </w:r>
          </w:p>
        </w:tc>
        <w:tc>
          <w:tcPr>
            <w:tcW w:w="0" w:type="auto"/>
            <w:hideMark/>
          </w:tcPr>
          <w:p w14:paraId="13BB3875" w14:textId="50CCB92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986.30</w:t>
            </w:r>
          </w:p>
        </w:tc>
        <w:tc>
          <w:tcPr>
            <w:tcW w:w="0" w:type="auto"/>
            <w:hideMark/>
          </w:tcPr>
          <w:p w14:paraId="10719C3A"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4.7</w:t>
            </w:r>
          </w:p>
        </w:tc>
        <w:tc>
          <w:tcPr>
            <w:tcW w:w="0" w:type="auto"/>
            <w:hideMark/>
          </w:tcPr>
          <w:p w14:paraId="718307A0" w14:textId="58E8C51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1,618.30</w:t>
            </w:r>
          </w:p>
        </w:tc>
      </w:tr>
      <w:tr w:rsidR="00371B75" w:rsidRPr="00371B75" w14:paraId="44003AAF" w14:textId="77777777" w:rsidTr="006C7CCA">
        <w:trPr>
          <w:jc w:val="center"/>
        </w:trPr>
        <w:tc>
          <w:tcPr>
            <w:tcW w:w="0" w:type="auto"/>
            <w:hideMark/>
          </w:tcPr>
          <w:p w14:paraId="0AACADE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w:t>
            </w:r>
          </w:p>
        </w:tc>
        <w:tc>
          <w:tcPr>
            <w:tcW w:w="0" w:type="auto"/>
            <w:hideMark/>
          </w:tcPr>
          <w:p w14:paraId="1D978614" w14:textId="74DE0A13"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391.50</w:t>
            </w:r>
          </w:p>
        </w:tc>
        <w:tc>
          <w:tcPr>
            <w:tcW w:w="0" w:type="auto"/>
            <w:hideMark/>
          </w:tcPr>
          <w:p w14:paraId="58FF71F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3.1</w:t>
            </w:r>
          </w:p>
        </w:tc>
        <w:tc>
          <w:tcPr>
            <w:tcW w:w="0" w:type="auto"/>
            <w:hideMark/>
          </w:tcPr>
          <w:p w14:paraId="5AC44CF3" w14:textId="05356B60"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1,023.50</w:t>
            </w:r>
          </w:p>
        </w:tc>
        <w:tc>
          <w:tcPr>
            <w:tcW w:w="0" w:type="auto"/>
            <w:hideMark/>
          </w:tcPr>
          <w:p w14:paraId="37C8EAE8"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4.8</w:t>
            </w:r>
          </w:p>
        </w:tc>
        <w:tc>
          <w:tcPr>
            <w:tcW w:w="0" w:type="auto"/>
            <w:hideMark/>
          </w:tcPr>
          <w:p w14:paraId="31E89DF3" w14:textId="6D64E7B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1,655.50</w:t>
            </w:r>
          </w:p>
        </w:tc>
      </w:tr>
      <w:tr w:rsidR="00371B75" w:rsidRPr="00371B75" w14:paraId="41B297C9" w14:textId="77777777" w:rsidTr="006C7CCA">
        <w:trPr>
          <w:jc w:val="center"/>
        </w:trPr>
        <w:tc>
          <w:tcPr>
            <w:tcW w:w="0" w:type="auto"/>
            <w:hideMark/>
          </w:tcPr>
          <w:p w14:paraId="57D82962"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w:t>
            </w:r>
          </w:p>
        </w:tc>
        <w:tc>
          <w:tcPr>
            <w:tcW w:w="0" w:type="auto"/>
            <w:hideMark/>
          </w:tcPr>
          <w:p w14:paraId="1AB87E54" w14:textId="531A26E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428.60</w:t>
            </w:r>
          </w:p>
        </w:tc>
        <w:tc>
          <w:tcPr>
            <w:tcW w:w="0" w:type="auto"/>
            <w:hideMark/>
          </w:tcPr>
          <w:p w14:paraId="32D31B4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3.2</w:t>
            </w:r>
          </w:p>
        </w:tc>
        <w:tc>
          <w:tcPr>
            <w:tcW w:w="0" w:type="auto"/>
            <w:hideMark/>
          </w:tcPr>
          <w:p w14:paraId="67CB616A" w14:textId="2D535A70"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1,060.60</w:t>
            </w:r>
          </w:p>
        </w:tc>
        <w:tc>
          <w:tcPr>
            <w:tcW w:w="0" w:type="auto"/>
            <w:hideMark/>
          </w:tcPr>
          <w:p w14:paraId="006516CC"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4.9</w:t>
            </w:r>
          </w:p>
        </w:tc>
        <w:tc>
          <w:tcPr>
            <w:tcW w:w="0" w:type="auto"/>
            <w:hideMark/>
          </w:tcPr>
          <w:p w14:paraId="41284A2E" w14:textId="71C15174"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1,692.70</w:t>
            </w:r>
          </w:p>
        </w:tc>
      </w:tr>
      <w:tr w:rsidR="00371B75" w:rsidRPr="00371B75" w14:paraId="3D5541D4" w14:textId="77777777" w:rsidTr="006C7CCA">
        <w:trPr>
          <w:jc w:val="center"/>
        </w:trPr>
        <w:tc>
          <w:tcPr>
            <w:tcW w:w="0" w:type="auto"/>
            <w:hideMark/>
          </w:tcPr>
          <w:p w14:paraId="7B75D06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w:t>
            </w:r>
          </w:p>
        </w:tc>
        <w:tc>
          <w:tcPr>
            <w:tcW w:w="0" w:type="auto"/>
            <w:hideMark/>
          </w:tcPr>
          <w:p w14:paraId="71C9368A" w14:textId="205EB60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465.80</w:t>
            </w:r>
          </w:p>
        </w:tc>
        <w:tc>
          <w:tcPr>
            <w:tcW w:w="0" w:type="auto"/>
            <w:hideMark/>
          </w:tcPr>
          <w:p w14:paraId="4F3E49A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w:t>
            </w:r>
          </w:p>
        </w:tc>
        <w:tc>
          <w:tcPr>
            <w:tcW w:w="0" w:type="auto"/>
            <w:hideMark/>
          </w:tcPr>
          <w:p w14:paraId="239BD5A6" w14:textId="6C79A06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1,097.80</w:t>
            </w:r>
          </w:p>
        </w:tc>
        <w:tc>
          <w:tcPr>
            <w:tcW w:w="0" w:type="auto"/>
            <w:hideMark/>
          </w:tcPr>
          <w:p w14:paraId="2C5FF635"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w:t>
            </w:r>
          </w:p>
        </w:tc>
        <w:tc>
          <w:tcPr>
            <w:tcW w:w="0" w:type="auto"/>
            <w:hideMark/>
          </w:tcPr>
          <w:p w14:paraId="78750BDE" w14:textId="110C61C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1,729.80</w:t>
            </w:r>
          </w:p>
        </w:tc>
      </w:tr>
      <w:tr w:rsidR="00371B75" w:rsidRPr="00371B75" w14:paraId="1E37C75E" w14:textId="77777777" w:rsidTr="006C7CCA">
        <w:trPr>
          <w:jc w:val="center"/>
        </w:trPr>
        <w:tc>
          <w:tcPr>
            <w:tcW w:w="0" w:type="auto"/>
            <w:hideMark/>
          </w:tcPr>
          <w:p w14:paraId="0ACB375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w:t>
            </w:r>
          </w:p>
        </w:tc>
        <w:tc>
          <w:tcPr>
            <w:tcW w:w="0" w:type="auto"/>
            <w:hideMark/>
          </w:tcPr>
          <w:p w14:paraId="311799FE" w14:textId="23108DA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503.00</w:t>
            </w:r>
          </w:p>
        </w:tc>
        <w:tc>
          <w:tcPr>
            <w:tcW w:w="0" w:type="auto"/>
            <w:hideMark/>
          </w:tcPr>
          <w:p w14:paraId="717B696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3.4</w:t>
            </w:r>
          </w:p>
        </w:tc>
        <w:tc>
          <w:tcPr>
            <w:tcW w:w="0" w:type="auto"/>
            <w:hideMark/>
          </w:tcPr>
          <w:p w14:paraId="2686B2B7" w14:textId="4D17F30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1,135.00</w:t>
            </w:r>
          </w:p>
        </w:tc>
        <w:tc>
          <w:tcPr>
            <w:tcW w:w="0" w:type="auto"/>
            <w:hideMark/>
          </w:tcPr>
          <w:p w14:paraId="1882CF5B"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5.1</w:t>
            </w:r>
          </w:p>
        </w:tc>
        <w:tc>
          <w:tcPr>
            <w:tcW w:w="0" w:type="auto"/>
            <w:hideMark/>
          </w:tcPr>
          <w:p w14:paraId="6D59845D" w14:textId="2AD30A7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1,767.00</w:t>
            </w:r>
          </w:p>
        </w:tc>
      </w:tr>
      <w:tr w:rsidR="00371B75" w:rsidRPr="00371B75" w14:paraId="1111ABB1" w14:textId="77777777" w:rsidTr="006C7CCA">
        <w:trPr>
          <w:jc w:val="center"/>
        </w:trPr>
        <w:tc>
          <w:tcPr>
            <w:tcW w:w="0" w:type="auto"/>
            <w:hideMark/>
          </w:tcPr>
          <w:p w14:paraId="5CE8240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w:t>
            </w:r>
          </w:p>
        </w:tc>
        <w:tc>
          <w:tcPr>
            <w:tcW w:w="0" w:type="auto"/>
            <w:hideMark/>
          </w:tcPr>
          <w:p w14:paraId="50BC3528" w14:textId="7D455689"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540.20</w:t>
            </w:r>
          </w:p>
        </w:tc>
        <w:tc>
          <w:tcPr>
            <w:tcW w:w="0" w:type="auto"/>
            <w:hideMark/>
          </w:tcPr>
          <w:p w14:paraId="5F5013F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3.5</w:t>
            </w:r>
          </w:p>
        </w:tc>
        <w:tc>
          <w:tcPr>
            <w:tcW w:w="0" w:type="auto"/>
            <w:hideMark/>
          </w:tcPr>
          <w:p w14:paraId="1E1B2C7F" w14:textId="6815C7C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1,172.20</w:t>
            </w:r>
          </w:p>
        </w:tc>
        <w:tc>
          <w:tcPr>
            <w:tcW w:w="0" w:type="auto"/>
            <w:hideMark/>
          </w:tcPr>
          <w:p w14:paraId="1386D357"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5.2</w:t>
            </w:r>
          </w:p>
        </w:tc>
        <w:tc>
          <w:tcPr>
            <w:tcW w:w="0" w:type="auto"/>
            <w:hideMark/>
          </w:tcPr>
          <w:p w14:paraId="366663DB" w14:textId="269DB01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1,804.20</w:t>
            </w:r>
          </w:p>
        </w:tc>
      </w:tr>
      <w:tr w:rsidR="00371B75" w:rsidRPr="00371B75" w14:paraId="1CBB737B" w14:textId="77777777" w:rsidTr="006C7CCA">
        <w:trPr>
          <w:jc w:val="center"/>
        </w:trPr>
        <w:tc>
          <w:tcPr>
            <w:tcW w:w="0" w:type="auto"/>
            <w:hideMark/>
          </w:tcPr>
          <w:p w14:paraId="6DF464B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w:t>
            </w:r>
          </w:p>
        </w:tc>
        <w:tc>
          <w:tcPr>
            <w:tcW w:w="0" w:type="auto"/>
            <w:hideMark/>
          </w:tcPr>
          <w:p w14:paraId="53C7A767" w14:textId="0A799FA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577.30</w:t>
            </w:r>
          </w:p>
        </w:tc>
        <w:tc>
          <w:tcPr>
            <w:tcW w:w="0" w:type="auto"/>
            <w:hideMark/>
          </w:tcPr>
          <w:p w14:paraId="2D6DF0D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3.6</w:t>
            </w:r>
          </w:p>
        </w:tc>
        <w:tc>
          <w:tcPr>
            <w:tcW w:w="0" w:type="auto"/>
            <w:hideMark/>
          </w:tcPr>
          <w:p w14:paraId="6DBC1F98" w14:textId="76ED903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1,209.30</w:t>
            </w:r>
          </w:p>
        </w:tc>
        <w:tc>
          <w:tcPr>
            <w:tcW w:w="0" w:type="auto"/>
            <w:hideMark/>
          </w:tcPr>
          <w:p w14:paraId="651507B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5.3</w:t>
            </w:r>
          </w:p>
        </w:tc>
        <w:tc>
          <w:tcPr>
            <w:tcW w:w="0" w:type="auto"/>
            <w:hideMark/>
          </w:tcPr>
          <w:p w14:paraId="72D627A2" w14:textId="12C29F0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1,841.30</w:t>
            </w:r>
          </w:p>
        </w:tc>
      </w:tr>
      <w:tr w:rsidR="00371B75" w:rsidRPr="00371B75" w14:paraId="5AD63067" w14:textId="77777777" w:rsidTr="006C7CCA">
        <w:trPr>
          <w:jc w:val="center"/>
        </w:trPr>
        <w:tc>
          <w:tcPr>
            <w:tcW w:w="0" w:type="auto"/>
            <w:hideMark/>
          </w:tcPr>
          <w:p w14:paraId="5E49F27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p>
        </w:tc>
        <w:tc>
          <w:tcPr>
            <w:tcW w:w="0" w:type="auto"/>
            <w:hideMark/>
          </w:tcPr>
          <w:p w14:paraId="55E70B87" w14:textId="4F5C35A6"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614.50</w:t>
            </w:r>
          </w:p>
        </w:tc>
        <w:tc>
          <w:tcPr>
            <w:tcW w:w="0" w:type="auto"/>
            <w:hideMark/>
          </w:tcPr>
          <w:p w14:paraId="1BB22D83"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3.7</w:t>
            </w:r>
          </w:p>
        </w:tc>
        <w:tc>
          <w:tcPr>
            <w:tcW w:w="0" w:type="auto"/>
            <w:hideMark/>
          </w:tcPr>
          <w:p w14:paraId="1D88AA8C" w14:textId="1F82F42D"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1,246.50</w:t>
            </w:r>
          </w:p>
        </w:tc>
        <w:tc>
          <w:tcPr>
            <w:tcW w:w="0" w:type="auto"/>
            <w:hideMark/>
          </w:tcPr>
          <w:p w14:paraId="1F0379EE"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5.4</w:t>
            </w:r>
          </w:p>
        </w:tc>
        <w:tc>
          <w:tcPr>
            <w:tcW w:w="0" w:type="auto"/>
            <w:hideMark/>
          </w:tcPr>
          <w:p w14:paraId="6369545C" w14:textId="7DDE3823"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1,878.50</w:t>
            </w:r>
          </w:p>
        </w:tc>
      </w:tr>
      <w:tr w:rsidR="00371B75" w:rsidRPr="00371B75" w14:paraId="73E0C55B" w14:textId="77777777" w:rsidTr="006C7CCA">
        <w:trPr>
          <w:jc w:val="center"/>
        </w:trPr>
        <w:tc>
          <w:tcPr>
            <w:tcW w:w="0" w:type="auto"/>
            <w:hideMark/>
          </w:tcPr>
          <w:p w14:paraId="660BB73B"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2.1</w:t>
            </w:r>
          </w:p>
        </w:tc>
        <w:tc>
          <w:tcPr>
            <w:tcW w:w="0" w:type="auto"/>
            <w:hideMark/>
          </w:tcPr>
          <w:p w14:paraId="6A814E23" w14:textId="511C961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651.70</w:t>
            </w:r>
          </w:p>
        </w:tc>
        <w:tc>
          <w:tcPr>
            <w:tcW w:w="0" w:type="auto"/>
            <w:hideMark/>
          </w:tcPr>
          <w:p w14:paraId="7D9F90A5"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3.8</w:t>
            </w:r>
          </w:p>
        </w:tc>
        <w:tc>
          <w:tcPr>
            <w:tcW w:w="0" w:type="auto"/>
            <w:hideMark/>
          </w:tcPr>
          <w:p w14:paraId="6D7CF469" w14:textId="50B6E8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1,283.70</w:t>
            </w:r>
          </w:p>
        </w:tc>
        <w:tc>
          <w:tcPr>
            <w:tcW w:w="0" w:type="auto"/>
            <w:hideMark/>
          </w:tcPr>
          <w:p w14:paraId="6DB964B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5.5</w:t>
            </w:r>
          </w:p>
        </w:tc>
        <w:tc>
          <w:tcPr>
            <w:tcW w:w="0" w:type="auto"/>
            <w:hideMark/>
          </w:tcPr>
          <w:p w14:paraId="7C58C093" w14:textId="1400FD9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1,915.70</w:t>
            </w:r>
          </w:p>
        </w:tc>
      </w:tr>
      <w:tr w:rsidR="00371B75" w:rsidRPr="00371B75" w14:paraId="511E217D" w14:textId="77777777" w:rsidTr="006C7CCA">
        <w:trPr>
          <w:jc w:val="center"/>
        </w:trPr>
        <w:tc>
          <w:tcPr>
            <w:tcW w:w="0" w:type="auto"/>
            <w:hideMark/>
          </w:tcPr>
          <w:p w14:paraId="11001AF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w:t>
            </w:r>
          </w:p>
        </w:tc>
        <w:tc>
          <w:tcPr>
            <w:tcW w:w="0" w:type="auto"/>
            <w:hideMark/>
          </w:tcPr>
          <w:p w14:paraId="4C162BCC" w14:textId="050D53F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688.90</w:t>
            </w:r>
          </w:p>
        </w:tc>
        <w:tc>
          <w:tcPr>
            <w:tcW w:w="0" w:type="auto"/>
            <w:hideMark/>
          </w:tcPr>
          <w:p w14:paraId="099B1D4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3.9</w:t>
            </w:r>
          </w:p>
        </w:tc>
        <w:tc>
          <w:tcPr>
            <w:tcW w:w="0" w:type="auto"/>
            <w:hideMark/>
          </w:tcPr>
          <w:p w14:paraId="1EC01E44" w14:textId="6B5AD07E"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1,320.90</w:t>
            </w:r>
          </w:p>
        </w:tc>
        <w:tc>
          <w:tcPr>
            <w:tcW w:w="0" w:type="auto"/>
            <w:hideMark/>
          </w:tcPr>
          <w:p w14:paraId="4B55E3E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5.6</w:t>
            </w:r>
          </w:p>
        </w:tc>
        <w:tc>
          <w:tcPr>
            <w:tcW w:w="0" w:type="auto"/>
            <w:hideMark/>
          </w:tcPr>
          <w:p w14:paraId="39140C06" w14:textId="15FD609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1,952.90</w:t>
            </w:r>
          </w:p>
        </w:tc>
      </w:tr>
      <w:tr w:rsidR="00371B75" w:rsidRPr="00371B75" w14:paraId="03065435" w14:textId="77777777" w:rsidTr="006C7CCA">
        <w:trPr>
          <w:jc w:val="center"/>
        </w:trPr>
        <w:tc>
          <w:tcPr>
            <w:tcW w:w="0" w:type="auto"/>
            <w:hideMark/>
          </w:tcPr>
          <w:p w14:paraId="0BF7940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2.3</w:t>
            </w:r>
          </w:p>
        </w:tc>
        <w:tc>
          <w:tcPr>
            <w:tcW w:w="0" w:type="auto"/>
            <w:hideMark/>
          </w:tcPr>
          <w:p w14:paraId="33F76FD2" w14:textId="346F7392"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726.10</w:t>
            </w:r>
          </w:p>
        </w:tc>
        <w:tc>
          <w:tcPr>
            <w:tcW w:w="0" w:type="auto"/>
            <w:hideMark/>
          </w:tcPr>
          <w:p w14:paraId="36898E8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4.0</w:t>
            </w:r>
          </w:p>
        </w:tc>
        <w:tc>
          <w:tcPr>
            <w:tcW w:w="0" w:type="auto"/>
            <w:hideMark/>
          </w:tcPr>
          <w:p w14:paraId="562C9BB7" w14:textId="32B1856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1,358.10</w:t>
            </w:r>
          </w:p>
        </w:tc>
        <w:tc>
          <w:tcPr>
            <w:tcW w:w="0" w:type="auto"/>
            <w:hideMark/>
          </w:tcPr>
          <w:p w14:paraId="085EA5CF"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w:t>
            </w:r>
          </w:p>
        </w:tc>
        <w:tc>
          <w:tcPr>
            <w:tcW w:w="0" w:type="auto"/>
            <w:hideMark/>
          </w:tcPr>
          <w:p w14:paraId="320BA003" w14:textId="5F57805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1,990.10</w:t>
            </w:r>
          </w:p>
        </w:tc>
      </w:tr>
      <w:tr w:rsidR="00371B75" w:rsidRPr="00371B75" w14:paraId="5AC1EC96" w14:textId="77777777" w:rsidTr="006C7CCA">
        <w:trPr>
          <w:jc w:val="center"/>
        </w:trPr>
        <w:tc>
          <w:tcPr>
            <w:tcW w:w="0" w:type="auto"/>
            <w:hideMark/>
          </w:tcPr>
          <w:p w14:paraId="24D922D0"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2.4</w:t>
            </w:r>
          </w:p>
        </w:tc>
        <w:tc>
          <w:tcPr>
            <w:tcW w:w="0" w:type="auto"/>
            <w:hideMark/>
          </w:tcPr>
          <w:p w14:paraId="391949D3" w14:textId="3AE31465"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763.20</w:t>
            </w:r>
          </w:p>
        </w:tc>
        <w:tc>
          <w:tcPr>
            <w:tcW w:w="0" w:type="auto"/>
            <w:hideMark/>
          </w:tcPr>
          <w:p w14:paraId="1A320057"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4.1</w:t>
            </w:r>
          </w:p>
        </w:tc>
        <w:tc>
          <w:tcPr>
            <w:tcW w:w="0" w:type="auto"/>
            <w:hideMark/>
          </w:tcPr>
          <w:p w14:paraId="0B43D789" w14:textId="3492468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1,395.20</w:t>
            </w:r>
          </w:p>
        </w:tc>
        <w:tc>
          <w:tcPr>
            <w:tcW w:w="0" w:type="auto"/>
            <w:hideMark/>
          </w:tcPr>
          <w:p w14:paraId="44B052A6"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5.8</w:t>
            </w:r>
          </w:p>
        </w:tc>
        <w:tc>
          <w:tcPr>
            <w:tcW w:w="0" w:type="auto"/>
            <w:hideMark/>
          </w:tcPr>
          <w:p w14:paraId="3B5F86C4" w14:textId="6AA868B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2,027.20</w:t>
            </w:r>
          </w:p>
        </w:tc>
      </w:tr>
      <w:tr w:rsidR="00371B75" w:rsidRPr="00371B75" w14:paraId="0B72EC83" w14:textId="77777777" w:rsidTr="006C7CCA">
        <w:trPr>
          <w:jc w:val="center"/>
        </w:trPr>
        <w:tc>
          <w:tcPr>
            <w:tcW w:w="0" w:type="auto"/>
            <w:hideMark/>
          </w:tcPr>
          <w:p w14:paraId="5C9E191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w:t>
            </w:r>
          </w:p>
        </w:tc>
        <w:tc>
          <w:tcPr>
            <w:tcW w:w="0" w:type="auto"/>
            <w:hideMark/>
          </w:tcPr>
          <w:p w14:paraId="3835AF6C" w14:textId="59C6B6E8"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800.40</w:t>
            </w:r>
          </w:p>
        </w:tc>
        <w:tc>
          <w:tcPr>
            <w:tcW w:w="0" w:type="auto"/>
            <w:hideMark/>
          </w:tcPr>
          <w:p w14:paraId="7E9785D1"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4.2</w:t>
            </w:r>
          </w:p>
        </w:tc>
        <w:tc>
          <w:tcPr>
            <w:tcW w:w="0" w:type="auto"/>
            <w:hideMark/>
          </w:tcPr>
          <w:p w14:paraId="15F59CFD" w14:textId="3763CE7B"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1,432.40</w:t>
            </w:r>
          </w:p>
        </w:tc>
        <w:tc>
          <w:tcPr>
            <w:tcW w:w="0" w:type="auto"/>
            <w:hideMark/>
          </w:tcPr>
          <w:p w14:paraId="0A944558"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5.9</w:t>
            </w:r>
          </w:p>
        </w:tc>
        <w:tc>
          <w:tcPr>
            <w:tcW w:w="0" w:type="auto"/>
            <w:hideMark/>
          </w:tcPr>
          <w:p w14:paraId="7534F39E" w14:textId="0AF5034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2,064.40</w:t>
            </w:r>
          </w:p>
        </w:tc>
      </w:tr>
      <w:tr w:rsidR="007667A1" w:rsidRPr="00371B75" w14:paraId="0B519080" w14:textId="77777777" w:rsidTr="006C7CCA">
        <w:trPr>
          <w:jc w:val="center"/>
        </w:trPr>
        <w:tc>
          <w:tcPr>
            <w:tcW w:w="0" w:type="auto"/>
            <w:hideMark/>
          </w:tcPr>
          <w:p w14:paraId="52E817A9"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2.6</w:t>
            </w:r>
          </w:p>
        </w:tc>
        <w:tc>
          <w:tcPr>
            <w:tcW w:w="0" w:type="auto"/>
            <w:hideMark/>
          </w:tcPr>
          <w:p w14:paraId="2CE07F78" w14:textId="748A7B6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837.60</w:t>
            </w:r>
          </w:p>
        </w:tc>
        <w:tc>
          <w:tcPr>
            <w:tcW w:w="0" w:type="auto"/>
            <w:hideMark/>
          </w:tcPr>
          <w:p w14:paraId="3B86E69A" w14:textId="7FADE1E1"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4.3</w:t>
            </w:r>
          </w:p>
        </w:tc>
        <w:tc>
          <w:tcPr>
            <w:tcW w:w="0" w:type="auto"/>
            <w:hideMark/>
          </w:tcPr>
          <w:p w14:paraId="41496AC7" w14:textId="4CBF7A7C"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1,469.60</w:t>
            </w:r>
          </w:p>
        </w:tc>
        <w:tc>
          <w:tcPr>
            <w:tcW w:w="0" w:type="auto"/>
            <w:hideMark/>
          </w:tcPr>
          <w:p w14:paraId="38921D0D" w14:textId="77777777"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6.0</w:t>
            </w:r>
          </w:p>
        </w:tc>
        <w:tc>
          <w:tcPr>
            <w:tcW w:w="0" w:type="auto"/>
            <w:hideMark/>
          </w:tcPr>
          <w:p w14:paraId="58713D82" w14:textId="68CAC9BA" w:rsidR="007667A1" w:rsidRPr="00371B75"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2,101.60</w:t>
            </w:r>
          </w:p>
        </w:tc>
      </w:tr>
    </w:tbl>
    <w:p w14:paraId="53214408" w14:textId="77777777" w:rsidR="00AD16F0" w:rsidRPr="00371B75" w:rsidRDefault="00AD16F0" w:rsidP="00AD16F0">
      <w:pPr>
        <w:rPr>
          <w:color w:val="323E4F" w:themeColor="text2" w:themeShade="BF"/>
        </w:rPr>
      </w:pPr>
    </w:p>
    <w:p w14:paraId="3E3BD653" w14:textId="77777777" w:rsidR="00AD16F0" w:rsidRDefault="00AD16F0" w:rsidP="00AD16F0">
      <w:r>
        <w:br w:type="page"/>
      </w:r>
    </w:p>
    <w:p w14:paraId="189A0BD1" w14:textId="428BDF70" w:rsidR="00AD16F0" w:rsidRPr="00394ED5" w:rsidRDefault="00AD16F0" w:rsidP="00842992">
      <w:pPr>
        <w:pStyle w:val="Heading2"/>
      </w:pPr>
      <w:bookmarkStart w:id="25" w:name="_Toc52796183"/>
      <w:r w:rsidRPr="00394ED5">
        <w:lastRenderedPageBreak/>
        <w:t>Paramedical and Interpreter Staff Salaries (Reference 19)</w:t>
      </w:r>
      <w:bookmarkEnd w:id="25"/>
    </w:p>
    <w:p w14:paraId="31155E55" w14:textId="32CDC70F" w:rsidR="009758B9" w:rsidRDefault="009758B9" w:rsidP="009758B9">
      <w:pPr>
        <w:pStyle w:val="NormalWeb"/>
        <w:spacing w:line="360" w:lineRule="atLeast"/>
        <w:rPr>
          <w:rFonts w:ascii="VIC-Regular" w:hAnsi="VIC-Regular"/>
          <w:color w:val="011A3C"/>
          <w:lang w:val="en"/>
        </w:rPr>
      </w:pPr>
      <w:r>
        <w:rPr>
          <w:rFonts w:ascii="VIC-Regular" w:hAnsi="VIC-Regular"/>
          <w:color w:val="011A3C"/>
          <w:lang w:val="en"/>
        </w:rPr>
        <w:t xml:space="preserve">Paramedical and Interpreter Staff funding is allocated to deaf facilities with secondary enrolments. The funding is inclusive of on costs, (9.75% </w:t>
      </w:r>
      <w:r w:rsidRPr="00941E49">
        <w:rPr>
          <w:rFonts w:ascii="VIC-Regular" w:hAnsi="VIC-Regular"/>
          <w:color w:val="011A3C"/>
          <w:lang w:val="en"/>
        </w:rPr>
        <w:t>superannuation</w:t>
      </w:r>
      <w:r>
        <w:rPr>
          <w:rFonts w:ascii="VIC-Regular" w:hAnsi="VIC-Regular"/>
          <w:color w:val="011A3C"/>
          <w:lang w:val="en"/>
        </w:rPr>
        <w:t xml:space="preserve"> and 5.45% </w:t>
      </w:r>
      <w:r w:rsidRPr="00765C9E">
        <w:rPr>
          <w:rFonts w:ascii="VIC-Regular" w:hAnsi="VIC-Regular"/>
          <w:color w:val="011A3C"/>
          <w:lang w:val="en"/>
        </w:rPr>
        <w:t>payroll tax</w:t>
      </w:r>
      <w:r>
        <w:rPr>
          <w:rFonts w:ascii="VIC-Regular" w:hAnsi="VIC-Regular"/>
          <w:color w:val="011A3C"/>
          <w:lang w:val="en"/>
        </w:rPr>
        <w:t>), 1.35% leave loading, plus 1.5% for short-term relief costs.</w:t>
      </w:r>
    </w:p>
    <w:p w14:paraId="2B157413" w14:textId="77777777" w:rsidR="009758B9" w:rsidRPr="002C1457" w:rsidRDefault="009758B9" w:rsidP="009758B9">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2C1457">
        <w:rPr>
          <w:rFonts w:ascii="VIC-Regular" w:eastAsia="Times New Roman" w:hAnsi="VIC-Regular" w:cs="Times New Roman"/>
          <w:b/>
          <w:bCs/>
          <w:color w:val="011A3C"/>
          <w:sz w:val="24"/>
          <w:szCs w:val="24"/>
          <w:lang w:val="en" w:eastAsia="en-AU"/>
        </w:rPr>
        <w:t>Eligibility</w:t>
      </w:r>
    </w:p>
    <w:p w14:paraId="7112B7F1" w14:textId="77777777" w:rsidR="009758B9"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w:t>
      </w:r>
      <w:r w:rsidRPr="00394ED5">
        <w:rPr>
          <w:rFonts w:ascii="VIC-Regular" w:eastAsia="Times New Roman" w:hAnsi="VIC-Regular" w:cs="Times New Roman"/>
          <w:color w:val="011A3C"/>
          <w:sz w:val="24"/>
          <w:szCs w:val="24"/>
          <w:lang w:val="en" w:eastAsia="en-AU"/>
        </w:rPr>
        <w:t>with secondary enrolments</w:t>
      </w:r>
      <w:r>
        <w:rPr>
          <w:rFonts w:ascii="VIC-Regular" w:eastAsia="Times New Roman" w:hAnsi="VIC-Regular" w:cs="Times New Roman"/>
          <w:color w:val="011A3C"/>
          <w:sz w:val="24"/>
          <w:szCs w:val="24"/>
          <w:lang w:val="en" w:eastAsia="en-AU"/>
        </w:rPr>
        <w:t xml:space="preserve"> are eligible for Interpreter funding at campus level</w:t>
      </w:r>
    </w:p>
    <w:p w14:paraId="76279DD8"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Deaf</w:t>
      </w:r>
    </w:p>
    <w:p w14:paraId="68DF6D10" w14:textId="46A9C6E0" w:rsidR="009758B9" w:rsidRPr="00F76640" w:rsidRDefault="009758B9" w:rsidP="009758B9">
      <w:pPr>
        <w:spacing w:before="100" w:beforeAutospacing="1" w:after="100" w:afterAutospacing="1" w:line="360" w:lineRule="atLeast"/>
        <w:rPr>
          <w:rFonts w:ascii="VIC-Regular" w:eastAsia="Times New Roman" w:hAnsi="VIC-Regular" w:cs="Times New Roman"/>
          <w:color w:val="011A3C"/>
          <w:lang w:val="en" w:eastAsia="en-AU"/>
        </w:rPr>
      </w:pPr>
      <w:r w:rsidRPr="001E60DE">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xml:space="preserve"> and schools are </w:t>
      </w:r>
      <w:r w:rsidRPr="001E60DE">
        <w:rPr>
          <w:rFonts w:ascii="VIC-Regular" w:eastAsia="Times New Roman" w:hAnsi="VIC-Regular" w:cs="Times New Roman"/>
          <w:color w:val="011A3C"/>
          <w:sz w:val="24"/>
          <w:szCs w:val="24"/>
          <w:lang w:val="en" w:eastAsia="en-AU"/>
        </w:rPr>
        <w:t xml:space="preserve">provided </w:t>
      </w:r>
      <w:r w:rsidR="00554F86">
        <w:rPr>
          <w:rFonts w:ascii="VIC-Regular" w:eastAsia="Times New Roman" w:hAnsi="VIC-Regular" w:cs="Times New Roman"/>
          <w:color w:val="011A3C"/>
          <w:sz w:val="24"/>
          <w:szCs w:val="24"/>
          <w:lang w:val="en" w:eastAsia="en-AU"/>
        </w:rPr>
        <w:t xml:space="preserve">as </w:t>
      </w:r>
      <w:r>
        <w:rPr>
          <w:rFonts w:ascii="VIC-Regular" w:eastAsia="Times New Roman" w:hAnsi="VIC-Regular" w:cs="Times New Roman"/>
          <w:color w:val="011A3C"/>
          <w:sz w:val="24"/>
          <w:szCs w:val="24"/>
          <w:lang w:val="en" w:eastAsia="en-AU"/>
        </w:rPr>
        <w:t>credit</w:t>
      </w:r>
      <w:r w:rsidRPr="001E60DE">
        <w:rPr>
          <w:rFonts w:ascii="VIC-Regular" w:eastAsia="Times New Roman" w:hAnsi="VIC-Regular" w:cs="Times New Roman"/>
          <w:color w:val="011A3C"/>
          <w:sz w:val="24"/>
          <w:szCs w:val="24"/>
          <w:lang w:val="en" w:eastAsia="en-AU"/>
        </w:rPr>
        <w:t xml:space="preserve"> funding</w:t>
      </w:r>
    </w:p>
    <w:p w14:paraId="4CA32D80" w14:textId="77777777" w:rsidR="009758B9" w:rsidRDefault="009758B9" w:rsidP="009758B9">
      <w:pPr>
        <w:pStyle w:val="NormalWeb"/>
        <w:spacing w:line="360" w:lineRule="atLeast"/>
        <w:rPr>
          <w:rFonts w:ascii="VIC-Regular" w:hAnsi="VIC-Regular"/>
          <w:color w:val="011A3C"/>
          <w:lang w:val="en"/>
        </w:rPr>
      </w:pPr>
    </w:p>
    <w:p w14:paraId="1BD0A8DD" w14:textId="77777777" w:rsidR="009758B9" w:rsidRPr="002C1457" w:rsidRDefault="009758B9" w:rsidP="009758B9">
      <w:pPr>
        <w:pStyle w:val="Heading3"/>
        <w:rPr>
          <w:rFonts w:ascii="VIC-Bold" w:hAnsi="VIC-Bold"/>
          <w:b/>
          <w:bCs/>
          <w:color w:val="011A3C"/>
          <w:lang w:val="en"/>
        </w:rPr>
      </w:pPr>
      <w:r w:rsidRPr="002C1457">
        <w:rPr>
          <w:b/>
          <w:bCs/>
          <w:color w:val="011A3C"/>
          <w:lang w:val="en"/>
        </w:rPr>
        <w:t>Calculation details</w:t>
      </w:r>
    </w:p>
    <w:p w14:paraId="2EEAF2CA" w14:textId="284E3855" w:rsidR="009758B9" w:rsidRDefault="009758B9" w:rsidP="009758B9">
      <w:pPr>
        <w:pStyle w:val="NormalWeb"/>
        <w:spacing w:line="360" w:lineRule="atLeast"/>
        <w:rPr>
          <w:rFonts w:ascii="VIC-Regular" w:hAnsi="VIC-Regular"/>
          <w:color w:val="011A3C"/>
          <w:lang w:val="en"/>
        </w:rPr>
      </w:pPr>
      <w:r>
        <w:rPr>
          <w:rFonts w:ascii="VIC-Regular" w:hAnsi="VIC-Regular"/>
          <w:color w:val="011A3C"/>
          <w:lang w:val="en"/>
        </w:rPr>
        <w:t xml:space="preserve">Funding is allocated based </w:t>
      </w:r>
      <w:r w:rsidR="00554F86">
        <w:rPr>
          <w:rFonts w:ascii="VIC-Regular" w:hAnsi="VIC-Regular"/>
          <w:color w:val="011A3C"/>
          <w:lang w:val="en"/>
        </w:rPr>
        <w:t xml:space="preserve">on </w:t>
      </w:r>
      <w:r>
        <w:rPr>
          <w:rFonts w:ascii="VIC-Regular" w:hAnsi="VIC-Regular"/>
          <w:color w:val="011A3C"/>
          <w:lang w:val="en"/>
        </w:rPr>
        <w:t>enrolments and resourcing model for deaf facilities.</w:t>
      </w:r>
    </w:p>
    <w:p w14:paraId="69053A41" w14:textId="77777777" w:rsidR="00A515CE" w:rsidRDefault="00A515CE"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515CE">
        <w:rPr>
          <w:rFonts w:ascii="VIC-Regular" w:eastAsia="Times New Roman" w:hAnsi="VIC-Regular" w:cs="Times New Roman"/>
          <w:color w:val="011A3C"/>
          <w:sz w:val="24"/>
          <w:szCs w:val="24"/>
          <w:lang w:val="en" w:eastAsia="en-AU"/>
        </w:rPr>
        <w:t>Deaf schools with secondary enrolments are funded at a rate of 1 EFT for every 6 enrolments.</w:t>
      </w:r>
    </w:p>
    <w:p w14:paraId="1E95E83F" w14:textId="645362C4" w:rsidR="00AD16F0" w:rsidRPr="000D106B" w:rsidRDefault="009758B9"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76640">
        <w:rPr>
          <w:rFonts w:ascii="VIC-Regular" w:eastAsia="Times New Roman" w:hAnsi="VIC-Regular" w:cs="Times New Roman"/>
          <w:color w:val="011A3C"/>
          <w:sz w:val="24"/>
          <w:szCs w:val="24"/>
          <w:lang w:val="en" w:eastAsia="en-AU"/>
        </w:rPr>
        <w:t>For example: A school with 8 secondary enrolments will be funded for 8 secondary enrolments divided by 6 EFT =</w:t>
      </w:r>
      <w:r w:rsidR="003D146E">
        <w:rPr>
          <w:rFonts w:ascii="VIC-Regular" w:eastAsia="Times New Roman" w:hAnsi="VIC-Regular" w:cs="Times New Roman"/>
          <w:color w:val="011A3C"/>
          <w:sz w:val="24"/>
          <w:szCs w:val="24"/>
          <w:lang w:val="en" w:eastAsia="en-AU"/>
        </w:rPr>
        <w:t xml:space="preserve"> </w:t>
      </w:r>
      <w:r w:rsidRPr="00F76640">
        <w:rPr>
          <w:rFonts w:ascii="VIC-Regular" w:eastAsia="Times New Roman" w:hAnsi="VIC-Regular" w:cs="Times New Roman"/>
          <w:color w:val="011A3C"/>
          <w:sz w:val="24"/>
          <w:szCs w:val="24"/>
          <w:lang w:val="en" w:eastAsia="en-AU"/>
        </w:rPr>
        <w:t>(8/6) = 1.33 EFT (rounded)</w:t>
      </w:r>
    </w:p>
    <w:p w14:paraId="77FB6D7C" w14:textId="77777777" w:rsidR="00AD16F0" w:rsidRDefault="00AD16F0" w:rsidP="00AD16F0">
      <w:r>
        <w:br w:type="page"/>
      </w:r>
    </w:p>
    <w:p w14:paraId="03A41B85" w14:textId="0B846908" w:rsidR="00AD16F0" w:rsidRPr="00394ED5" w:rsidRDefault="00AD16F0" w:rsidP="00842992">
      <w:pPr>
        <w:pStyle w:val="Heading2"/>
      </w:pPr>
      <w:bookmarkStart w:id="26" w:name="_Toc52796184"/>
      <w:r w:rsidRPr="00394ED5">
        <w:lastRenderedPageBreak/>
        <w:t>Medical Intervention Support (Reference 20)</w:t>
      </w:r>
      <w:bookmarkEnd w:id="26"/>
    </w:p>
    <w:p w14:paraId="49C07F5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(MIS) funding supports schools to engage appropriately trained staff to assist students who require regular, complex medical support at school.</w:t>
      </w:r>
    </w:p>
    <w:p w14:paraId="78E19453"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MIS funding is available to support schools to put in place the necessary work arrangements for the delivery of specialised assistance to these students. This involves engagement of appropriately trained Education Support (ES) staff to undertake duties and responsibilities for delivering supporting procedures, consistent with Level 1, Range 2 of the ES Class.</w:t>
      </w:r>
    </w:p>
    <w:p w14:paraId="01043A0E" w14:textId="49358257"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ES staff member must have undergone specific training to support the student’s medical needs. Training may be provided by an appropriate healthcare provider, or through the School care Program.</w:t>
      </w:r>
    </w:p>
    <w:p w14:paraId="44D2B47C" w14:textId="77777777" w:rsidR="009758B9" w:rsidRPr="0082626F" w:rsidRDefault="009758B9" w:rsidP="009758B9">
      <w:pPr>
        <w:spacing w:before="100" w:beforeAutospacing="1" w:after="100" w:afterAutospacing="1" w:line="360" w:lineRule="atLeast"/>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6262C519" w14:textId="77777777" w:rsidR="009758B9" w:rsidRPr="00AC3D42"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campus types are eligible for Medical Intervention funding at campus level.</w:t>
      </w:r>
    </w:p>
    <w:p w14:paraId="023037F0"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Primary</w:t>
      </w:r>
    </w:p>
    <w:p w14:paraId="0EDE9C3A"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0D1C0CBB"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 xml:space="preserve">Primary /Secondary Combined </w:t>
      </w:r>
    </w:p>
    <w:p w14:paraId="08211A22" w14:textId="77777777" w:rsidR="009758B9" w:rsidRPr="00AB403C"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p>
    <w:p w14:paraId="4EB1F3E1" w14:textId="77777777" w:rsidR="00A12061" w:rsidRDefault="009758B9" w:rsidP="00AD16F0">
      <w:pPr>
        <w:spacing w:before="100" w:beforeAutospacing="1" w:after="100" w:afterAutospacing="1" w:line="288" w:lineRule="atLeast"/>
        <w:outlineLvl w:val="2"/>
        <w:rPr>
          <w:lang w:val="en" w:eastAsia="en-AU"/>
        </w:rPr>
      </w:pPr>
      <w:r w:rsidRPr="00371B75">
        <w:rPr>
          <w:color w:val="323E4F" w:themeColor="text2" w:themeShade="BF"/>
          <w:lang w:val="en" w:eastAsia="en-AU"/>
        </w:rPr>
        <w:t>Funding is calculated for each of the four school terms and is allocated through credit funding</w:t>
      </w:r>
      <w:r>
        <w:rPr>
          <w:lang w:val="en" w:eastAsia="en-AU"/>
        </w:rPr>
        <w:t xml:space="preserve">. </w:t>
      </w:r>
    </w:p>
    <w:p w14:paraId="49C4E909" w14:textId="041903C3" w:rsidR="00AD16F0" w:rsidRPr="006C7CCA"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t xml:space="preserve">Rates </w:t>
      </w:r>
      <w:r w:rsidRPr="006C7CCA">
        <w:rPr>
          <w:rFonts w:ascii="VIC-Bold" w:eastAsia="Times New Roman" w:hAnsi="VIC-Bold" w:cs="Times New Roman" w:hint="eastAsia"/>
          <w:b/>
          <w:bCs/>
          <w:color w:val="011A3C"/>
          <w:sz w:val="27"/>
          <w:szCs w:val="27"/>
          <w:lang w:val="en" w:eastAsia="en-AU"/>
        </w:rPr>
        <w:t>—</w:t>
      </w:r>
      <w:r w:rsidRPr="006C7CCA">
        <w:rPr>
          <w:rFonts w:ascii="VIC-Bold" w:eastAsia="Times New Roman" w:hAnsi="VIC-Bold" w:cs="Times New Roman"/>
          <w:b/>
          <w:bCs/>
          <w:color w:val="011A3C"/>
          <w:sz w:val="27"/>
          <w:szCs w:val="27"/>
          <w:lang w:val="en" w:eastAsia="en-AU"/>
        </w:rPr>
        <w:t xml:space="preserve"> 202</w:t>
      </w:r>
      <w:r w:rsidR="0061578B">
        <w:rPr>
          <w:rFonts w:ascii="VIC-Bold" w:eastAsia="Times New Roman" w:hAnsi="VIC-Bold" w:cs="Times New Roman"/>
          <w:b/>
          <w:bCs/>
          <w:color w:val="011A3C"/>
          <w:sz w:val="27"/>
          <w:szCs w:val="27"/>
          <w:lang w:val="en" w:eastAsia="en-AU"/>
        </w:rPr>
        <w:t>1</w:t>
      </w:r>
    </w:p>
    <w:p w14:paraId="2EA1EDE1" w14:textId="5667944A"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Rate per eligible student: </w:t>
      </w:r>
      <w:r w:rsidR="0061578B" w:rsidRPr="0061578B">
        <w:rPr>
          <w:rFonts w:ascii="VIC-Regular" w:eastAsia="Times New Roman" w:hAnsi="VIC-Regular" w:cs="Times New Roman"/>
          <w:color w:val="011A3C"/>
          <w:sz w:val="24"/>
          <w:szCs w:val="24"/>
          <w:lang w:val="en" w:eastAsia="en-AU"/>
        </w:rPr>
        <w:t>$14,013</w:t>
      </w:r>
      <w:r w:rsidRPr="00394ED5">
        <w:rPr>
          <w:rFonts w:ascii="VIC-Regular" w:eastAsia="Times New Roman" w:hAnsi="VIC-Regular" w:cs="Times New Roman"/>
          <w:color w:val="011A3C"/>
          <w:sz w:val="24"/>
          <w:szCs w:val="24"/>
          <w:lang w:val="en" w:eastAsia="en-AU"/>
        </w:rPr>
        <w:t>Medical Intervention Support is allocated on a pro rata basis according to applications received from schools and the enrolment of an eligible student.</w:t>
      </w:r>
    </w:p>
    <w:p w14:paraId="152F930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In cases where the student transfers to another school, an application for Medical Intervention Support is required from the new school.</w:t>
      </w:r>
    </w:p>
    <w:p w14:paraId="5D292A0B" w14:textId="77777777" w:rsidR="00AD16F0" w:rsidRPr="006C7CCA" w:rsidRDefault="00AD16F0" w:rsidP="00474C70">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lastRenderedPageBreak/>
        <w:t>Further information</w:t>
      </w:r>
    </w:p>
    <w:p w14:paraId="0F3EDD69" w14:textId="77777777" w:rsidR="00AD16F0" w:rsidRPr="00394ED5" w:rsidRDefault="00AD16F0" w:rsidP="00474C70">
      <w:pPr>
        <w:keepNext/>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guidelines are available at:</w:t>
      </w:r>
    </w:p>
    <w:p w14:paraId="79C0D0D2" w14:textId="77777777" w:rsidR="00AD16F0" w:rsidRDefault="007E3659" w:rsidP="006C7CCA">
      <w:pPr>
        <w:numPr>
          <w:ilvl w:val="0"/>
          <w:numId w:val="23"/>
        </w:numPr>
        <w:spacing w:before="100" w:beforeAutospacing="1" w:after="100" w:afterAutospacing="1" w:line="360" w:lineRule="atLeast"/>
      </w:pPr>
      <w:hyperlink r:id="rId31" w:history="1">
        <w:r w:rsidR="00AD16F0" w:rsidRPr="00394ED5">
          <w:rPr>
            <w:rFonts w:ascii="VIC-Regular" w:eastAsia="Times New Roman" w:hAnsi="VIC-Regular" w:cs="Times New Roman"/>
            <w:color w:val="011A3C"/>
            <w:sz w:val="24"/>
            <w:szCs w:val="24"/>
            <w:lang w:val="en" w:eastAsia="en-AU"/>
          </w:rPr>
          <w:t>Medical Intervention Support</w:t>
        </w:r>
      </w:hyperlink>
      <w:r w:rsidR="00AD16F0">
        <w:br w:type="page"/>
      </w:r>
    </w:p>
    <w:p w14:paraId="7517F3A9" w14:textId="6DB4DCA3" w:rsidR="00AD16F0" w:rsidRPr="00394ED5" w:rsidRDefault="00AD16F0" w:rsidP="00842992">
      <w:pPr>
        <w:pStyle w:val="Heading2"/>
      </w:pPr>
      <w:bookmarkStart w:id="27" w:name="_Toc52796185"/>
      <w:r w:rsidRPr="00394ED5">
        <w:lastRenderedPageBreak/>
        <w:t>Special School Transport Administration (Reference 25)</w:t>
      </w:r>
      <w:bookmarkEnd w:id="27"/>
    </w:p>
    <w:p w14:paraId="32EB7F79" w14:textId="2C255B45"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 Special School Transport Administration allocation is provided in recognition of the arrangements required to manage transport arrangements in consultation with bus contractors and parents.</w:t>
      </w:r>
    </w:p>
    <w:p w14:paraId="1CDD488C" w14:textId="77777777" w:rsidR="00820471" w:rsidRPr="0082626F" w:rsidRDefault="00820471" w:rsidP="00820471">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bookmarkStart w:id="28" w:name="_Hlk46925874"/>
      <w:r w:rsidRPr="0082626F">
        <w:rPr>
          <w:rFonts w:ascii="VIC-Regular" w:eastAsia="Times New Roman" w:hAnsi="VIC-Regular" w:cs="Times New Roman"/>
          <w:b/>
          <w:bCs/>
          <w:color w:val="011A3C"/>
          <w:sz w:val="24"/>
          <w:szCs w:val="24"/>
          <w:lang w:val="en" w:eastAsia="en-AU"/>
        </w:rPr>
        <w:t>Eligibility</w:t>
      </w:r>
    </w:p>
    <w:p w14:paraId="7034E518" w14:textId="77777777" w:rsidR="00820471" w:rsidRDefault="00820471" w:rsidP="00820471">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r>
        <w:rPr>
          <w:rFonts w:ascii="VIC-Regular" w:eastAsia="Times New Roman" w:hAnsi="VIC-Regular" w:cs="Times New Roman"/>
          <w:color w:val="011A3C"/>
          <w:lang w:val="en" w:eastAsia="en-AU"/>
        </w:rPr>
        <w:t xml:space="preserve"> Schools</w:t>
      </w:r>
    </w:p>
    <w:p w14:paraId="3845B970" w14:textId="77777777" w:rsidR="00820471" w:rsidRPr="00AB403C" w:rsidRDefault="00820471" w:rsidP="00820471">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Autistic Schools</w:t>
      </w:r>
    </w:p>
    <w:bookmarkEnd w:id="28"/>
    <w:p w14:paraId="65E7D0EE" w14:textId="77777777" w:rsidR="00820471" w:rsidRDefault="00820471" w:rsidP="00820471">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 xml:space="preserve">for each of the four school terms, funding is allocated through cash funding. </w:t>
      </w:r>
    </w:p>
    <w:p w14:paraId="09473319" w14:textId="77777777" w:rsidR="00820471" w:rsidRDefault="00820471" w:rsidP="0082047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Calculation</w:t>
      </w:r>
    </w:p>
    <w:p w14:paraId="0B800A7F" w14:textId="77777777" w:rsidR="00820471" w:rsidRDefault="00820471" w:rsidP="0082047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Funding is calculated based on enrolment ranges provided in the rates section below.</w:t>
      </w:r>
    </w:p>
    <w:p w14:paraId="302B32A5" w14:textId="6E00ED90" w:rsidR="00820471" w:rsidRPr="00394ED5" w:rsidRDefault="00820471" w:rsidP="000D106B">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Example a school with 27 enrolments would fall into the 26-50 enrolment range.</w:t>
      </w:r>
    </w:p>
    <w:p w14:paraId="5C8BD0C1" w14:textId="5EB0CC3F" w:rsidR="00AD16F0" w:rsidRPr="006C7CCA"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t xml:space="preserve">Rates </w:t>
      </w:r>
      <w:r w:rsidRPr="006C7CCA">
        <w:rPr>
          <w:rFonts w:ascii="VIC-Bold" w:eastAsia="Times New Roman" w:hAnsi="VIC-Bold" w:cs="Times New Roman" w:hint="eastAsia"/>
          <w:b/>
          <w:bCs/>
          <w:color w:val="011A3C"/>
          <w:sz w:val="27"/>
          <w:szCs w:val="27"/>
          <w:lang w:val="en" w:eastAsia="en-AU"/>
        </w:rPr>
        <w:t>—</w:t>
      </w:r>
      <w:r w:rsidRPr="006C7CCA">
        <w:rPr>
          <w:rFonts w:ascii="VIC-Bold" w:eastAsia="Times New Roman" w:hAnsi="VIC-Bold" w:cs="Times New Roman"/>
          <w:b/>
          <w:bCs/>
          <w:color w:val="011A3C"/>
          <w:sz w:val="27"/>
          <w:szCs w:val="27"/>
          <w:lang w:val="en" w:eastAsia="en-AU"/>
        </w:rPr>
        <w:t xml:space="preserve"> 202</w:t>
      </w:r>
      <w:r w:rsidR="0061578B">
        <w:rPr>
          <w:rFonts w:ascii="VIC-Bold" w:eastAsia="Times New Roman" w:hAnsi="VIC-Bold" w:cs="Times New Roman"/>
          <w:b/>
          <w:bCs/>
          <w:color w:val="011A3C"/>
          <w:sz w:val="27"/>
          <w:szCs w:val="27"/>
          <w:lang w:val="en" w:eastAsia="en-AU"/>
        </w:rPr>
        <w:t>1</w:t>
      </w:r>
    </w:p>
    <w:p w14:paraId="7AD46B14" w14:textId="74367298" w:rsidR="00AD16F0" w:rsidRPr="00371B75" w:rsidRDefault="00AD16F0" w:rsidP="006C7CCA">
      <w:pPr>
        <w:numPr>
          <w:ilvl w:val="0"/>
          <w:numId w:val="24"/>
        </w:numPr>
        <w:spacing w:before="100" w:beforeAutospacing="1" w:after="100" w:afterAutospacing="1" w:line="360" w:lineRule="atLeast"/>
        <w:rPr>
          <w:rFonts w:ascii="VIC-Regular" w:eastAsia="Times New Roman" w:hAnsi="VIC-Regular" w:cs="Times New Roman"/>
          <w:color w:val="323E4F" w:themeColor="text2" w:themeShade="BF"/>
          <w:sz w:val="24"/>
          <w:szCs w:val="24"/>
          <w:lang w:val="en" w:eastAsia="en-AU"/>
        </w:rPr>
      </w:pPr>
      <w:r w:rsidRPr="00371B75">
        <w:rPr>
          <w:rFonts w:ascii="VIC-Regular" w:eastAsia="Times New Roman" w:hAnsi="VIC-Regular" w:cs="Times New Roman"/>
          <w:color w:val="323E4F" w:themeColor="text2" w:themeShade="BF"/>
          <w:sz w:val="24"/>
          <w:szCs w:val="24"/>
          <w:lang w:val="en" w:eastAsia="en-AU"/>
        </w:rPr>
        <w:t xml:space="preserve">Enrolment range 0 to 24: </w:t>
      </w:r>
      <w:r w:rsidR="0061578B" w:rsidRPr="00371B75">
        <w:rPr>
          <w:rFonts w:ascii="VIC-Regular" w:eastAsia="Times New Roman" w:hAnsi="VIC-Regular" w:cs="Times New Roman"/>
          <w:color w:val="323E4F" w:themeColor="text2" w:themeShade="BF"/>
          <w:sz w:val="24"/>
          <w:szCs w:val="24"/>
          <w:lang w:val="en" w:eastAsia="en-AU"/>
        </w:rPr>
        <w:t>2,638</w:t>
      </w:r>
    </w:p>
    <w:p w14:paraId="5D0558A1" w14:textId="0D561EC8" w:rsidR="00AD16F0" w:rsidRPr="00371B75" w:rsidRDefault="00AD16F0" w:rsidP="00AD16F0">
      <w:pPr>
        <w:numPr>
          <w:ilvl w:val="0"/>
          <w:numId w:val="24"/>
        </w:numPr>
        <w:spacing w:before="100" w:beforeAutospacing="1" w:after="100" w:afterAutospacing="1" w:line="360" w:lineRule="atLeast"/>
        <w:rPr>
          <w:color w:val="323E4F" w:themeColor="text2" w:themeShade="BF"/>
        </w:rPr>
      </w:pPr>
      <w:r w:rsidRPr="00371B75">
        <w:rPr>
          <w:rFonts w:ascii="VIC-Regular" w:eastAsia="Times New Roman" w:hAnsi="VIC-Regular" w:cs="Times New Roman"/>
          <w:color w:val="323E4F" w:themeColor="text2" w:themeShade="BF"/>
          <w:sz w:val="24"/>
          <w:szCs w:val="24"/>
          <w:lang w:val="en" w:eastAsia="en-AU"/>
        </w:rPr>
        <w:t xml:space="preserve">Enrolment range 26 to 50: </w:t>
      </w:r>
      <w:r w:rsidR="0061578B" w:rsidRPr="00371B75">
        <w:rPr>
          <w:rFonts w:ascii="VIC-Regular" w:eastAsia="Times New Roman" w:hAnsi="VIC-Regular" w:cs="Times New Roman"/>
          <w:color w:val="323E4F" w:themeColor="text2" w:themeShade="BF"/>
          <w:sz w:val="24"/>
          <w:szCs w:val="24"/>
          <w:lang w:val="en" w:eastAsia="en-AU"/>
        </w:rPr>
        <w:t>3,301</w:t>
      </w:r>
      <w:r w:rsidRPr="00371B75">
        <w:rPr>
          <w:rFonts w:ascii="VIC-Regular" w:eastAsia="Times New Roman" w:hAnsi="VIC-Regular" w:cs="Times New Roman"/>
          <w:color w:val="323E4F" w:themeColor="text2" w:themeShade="BF"/>
          <w:sz w:val="24"/>
          <w:szCs w:val="24"/>
          <w:lang w:val="en" w:eastAsia="en-AU"/>
        </w:rPr>
        <w:t xml:space="preserve">Enrolment range 51+: </w:t>
      </w:r>
      <w:r w:rsidR="0061578B" w:rsidRPr="00371B75">
        <w:rPr>
          <w:rFonts w:ascii="VIC-Regular" w:eastAsia="Times New Roman" w:hAnsi="VIC-Regular" w:cs="Times New Roman"/>
          <w:color w:val="323E4F" w:themeColor="text2" w:themeShade="BF"/>
          <w:sz w:val="24"/>
          <w:szCs w:val="24"/>
          <w:lang w:val="en" w:eastAsia="en-AU"/>
        </w:rPr>
        <w:t>3,962</w:t>
      </w:r>
    </w:p>
    <w:p w14:paraId="365CDE6D" w14:textId="3BE7A17E" w:rsidR="00AD16F0" w:rsidRPr="0061578B" w:rsidRDefault="00AD16F0" w:rsidP="00842992">
      <w:pPr>
        <w:pStyle w:val="Heading2"/>
      </w:pPr>
      <w:r>
        <w:br w:type="page"/>
      </w:r>
      <w:bookmarkStart w:id="29" w:name="_Toc52796186"/>
      <w:r w:rsidRPr="00394ED5">
        <w:lastRenderedPageBreak/>
        <w:t>EAL Program Funding (Reference 26)</w:t>
      </w:r>
      <w:bookmarkEnd w:id="29"/>
    </w:p>
    <w:p w14:paraId="136F4A41"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program funding for primary and secondary schools in the SRP consists primarily of EAL Index funding (Levels 1 – 5) and is provided to schools that meet a pre-determined threshold. Schools that experience an increase to their EAL student profile during the school year which takes them beyond that threshold are also eligible for EAL contingency funding. Refer to </w:t>
      </w:r>
      <w:hyperlink r:id="rId32" w:history="1">
        <w:r w:rsidRPr="0061578B">
          <w:rPr>
            <w:rFonts w:ascii="VIC-Regular" w:eastAsia="Times New Roman" w:hAnsi="VIC-Regular" w:cs="Times New Roman"/>
            <w:color w:val="011A3C"/>
            <w:sz w:val="24"/>
            <w:szCs w:val="24"/>
            <w:lang w:val="en" w:eastAsia="en-AU"/>
          </w:rPr>
          <w:t>EAL Contingency</w:t>
        </w:r>
      </w:hyperlink>
      <w:r w:rsidRPr="0061578B">
        <w:rPr>
          <w:rFonts w:ascii="VIC-Regular" w:eastAsia="Times New Roman" w:hAnsi="VIC-Regular" w:cs="Times New Roman"/>
          <w:color w:val="011A3C"/>
          <w:sz w:val="24"/>
          <w:szCs w:val="24"/>
          <w:lang w:val="en" w:eastAsia="en-AU"/>
        </w:rPr>
        <w:t xml:space="preserve"> (reference 27).</w:t>
      </w:r>
    </w:p>
    <w:p w14:paraId="2F805A49"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program funding for English language schools and centres in the SRP consists of funding to support a target number of students and provide services to newly arrived students who are not currently enrolled in a full-time new arrivals program. English language schools and centres that experience a significant increase to their enrolments during the school year may also be eligible for EAL contingency funding. Refer to </w:t>
      </w:r>
      <w:hyperlink r:id="rId33" w:history="1">
        <w:r w:rsidRPr="0061578B">
          <w:rPr>
            <w:rFonts w:ascii="VIC-Regular" w:eastAsia="Times New Roman" w:hAnsi="VIC-Regular" w:cs="Times New Roman"/>
            <w:color w:val="011A3C"/>
            <w:sz w:val="24"/>
            <w:szCs w:val="24"/>
            <w:lang w:val="en" w:eastAsia="en-AU"/>
          </w:rPr>
          <w:t>EAL Contingency</w:t>
        </w:r>
      </w:hyperlink>
      <w:r w:rsidRPr="0061578B">
        <w:rPr>
          <w:rFonts w:ascii="VIC-Regular" w:eastAsia="Times New Roman" w:hAnsi="VIC-Regular" w:cs="Times New Roman"/>
          <w:color w:val="011A3C"/>
          <w:sz w:val="24"/>
          <w:szCs w:val="24"/>
          <w:lang w:val="en" w:eastAsia="en-AU"/>
        </w:rPr>
        <w:t xml:space="preserve"> (Reference 27).</w:t>
      </w:r>
    </w:p>
    <w:p w14:paraId="6A145E9C"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EAL Index funding (Levels 1 – 5)</w:t>
      </w:r>
    </w:p>
    <w:p w14:paraId="2A7E7A70"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Index funding is made available to schools to staff EAL programs with appropriately qualified EAL teachers and Multicultural Education Aides (MEAs).</w:t>
      </w:r>
    </w:p>
    <w:p w14:paraId="512BE684"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Index funding is based on data collected from schools in the preceding August School Census. New schools that did not participate in the preceding August census can apply for contingency funding if their EAL student profile meets the EAL Index funding threshold.</w:t>
      </w:r>
    </w:p>
    <w:p w14:paraId="1C3728E7"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Eligibility</w:t>
      </w:r>
    </w:p>
    <w:p w14:paraId="0B28DC52" w14:textId="77777777" w:rsidR="005D5E2A" w:rsidRPr="0061578B" w:rsidRDefault="005D5E2A" w:rsidP="005D5E2A">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Primary</w:t>
      </w:r>
    </w:p>
    <w:p w14:paraId="3998E452" w14:textId="77777777" w:rsidR="005D5E2A" w:rsidRPr="0061578B" w:rsidRDefault="005D5E2A" w:rsidP="005D5E2A">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Secondary</w:t>
      </w:r>
    </w:p>
    <w:p w14:paraId="397BEFE9" w14:textId="77777777" w:rsidR="005D5E2A" w:rsidRPr="0061578B" w:rsidRDefault="005D5E2A" w:rsidP="005D5E2A">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Primary/Secondary Combined</w:t>
      </w:r>
    </w:p>
    <w:p w14:paraId="62AF9A7B"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Allocation of EAL Index funding</w:t>
      </w:r>
    </w:p>
    <w:p w14:paraId="05C63C8D"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Index funding is allocated to schools at campus level to provide EAL programs for students based on the number of students who:</w:t>
      </w:r>
    </w:p>
    <w:p w14:paraId="210D94DD" w14:textId="77777777" w:rsidR="005D5E2A" w:rsidRPr="0061578B" w:rsidRDefault="005D5E2A" w:rsidP="005D5E2A">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come from a language background other than English</w:t>
      </w:r>
    </w:p>
    <w:p w14:paraId="21149923" w14:textId="77777777" w:rsidR="005D5E2A" w:rsidRPr="0061578B" w:rsidRDefault="005D5E2A" w:rsidP="005D5E2A">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speak a language other than English at home as their main language</w:t>
      </w:r>
    </w:p>
    <w:p w14:paraId="2E4385B2" w14:textId="77777777" w:rsidR="005D5E2A" w:rsidRPr="0061578B" w:rsidRDefault="005D5E2A" w:rsidP="005D5E2A">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have been enrolled in an Australian school for less than five years</w:t>
      </w:r>
    </w:p>
    <w:p w14:paraId="6F6CB70E" w14:textId="77777777" w:rsidR="005D5E2A" w:rsidRPr="0061578B" w:rsidRDefault="005D5E2A" w:rsidP="005D5E2A">
      <w:pPr>
        <w:numPr>
          <w:ilvl w:val="0"/>
          <w:numId w:val="37"/>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attract Student Resource Package (SRP) funding.</w:t>
      </w:r>
    </w:p>
    <w:p w14:paraId="38B79989"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lastRenderedPageBreak/>
        <w:t>Schools should plan programs that are sufficiently flexible to accommodate the changes that occur to their EAL populations during the school year. This can be due to new enrolments or students transferring or leaving.</w:t>
      </w:r>
    </w:p>
    <w:p w14:paraId="7689E393"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Schools hosting intensive English language support programs (also known as outpost programs) should note that funding for teacher FTE for these programs is included in the English language school’s Student Resource Package.</w:t>
      </w:r>
    </w:p>
    <w:p w14:paraId="22EC7132"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Calculation</w:t>
      </w:r>
    </w:p>
    <w:p w14:paraId="63BF4921" w14:textId="77777777"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EAL funding is based on an integrated weighted index for primary and secondary students.</w:t>
      </w:r>
    </w:p>
    <w:p w14:paraId="3C655925" w14:textId="1EE84F6A"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This is applied to the number of students identified in the August School census as meeting the EAL Index funding criteria.</w:t>
      </w:r>
      <w:r w:rsidRPr="0061578B">
        <w:rPr>
          <w:rFonts w:ascii="VIC-Regular" w:eastAsia="Times New Roman" w:hAnsi="VIC-Regular" w:cs="Times New Roman"/>
          <w:color w:val="011A3C"/>
          <w:sz w:val="24"/>
          <w:szCs w:val="24"/>
          <w:lang w:val="en" w:eastAsia="en-AU"/>
        </w:rPr>
        <w:br/>
      </w:r>
      <w:r w:rsidRPr="0061578B">
        <w:rPr>
          <w:rFonts w:ascii="VIC-Regular" w:eastAsia="Times New Roman" w:hAnsi="VIC-Regular" w:cs="Times New Roman"/>
          <w:color w:val="011A3C"/>
          <w:sz w:val="24"/>
          <w:szCs w:val="24"/>
          <w:lang w:val="en" w:eastAsia="en-AU"/>
        </w:rPr>
        <w:br/>
        <w:t>A school’s EAL allocation includes a weighting based on the school’s densities of Student Family Occupations (SFO Weighting).</w:t>
      </w:r>
      <w:r w:rsidR="00F01784">
        <w:rPr>
          <w:rFonts w:ascii="VIC-Regular" w:eastAsia="Times New Roman" w:hAnsi="VIC-Regular" w:cs="Times New Roman"/>
          <w:color w:val="011A3C"/>
          <w:sz w:val="24"/>
          <w:szCs w:val="24"/>
          <w:lang w:val="en" w:eastAsia="en-AU"/>
        </w:rPr>
        <w:t xml:space="preserve"> Refer reference </w:t>
      </w:r>
      <w:r w:rsidR="000D3CC4">
        <w:rPr>
          <w:rFonts w:ascii="VIC-Regular" w:eastAsia="Times New Roman" w:hAnsi="VIC-Regular" w:cs="Times New Roman"/>
          <w:color w:val="011A3C"/>
          <w:sz w:val="24"/>
          <w:szCs w:val="24"/>
          <w:lang w:val="en" w:eastAsia="en-AU"/>
        </w:rPr>
        <w:t>11 for the calculation of SFO.</w:t>
      </w:r>
      <w:r w:rsidRPr="0061578B">
        <w:rPr>
          <w:rFonts w:ascii="VIC-Regular" w:eastAsia="Times New Roman" w:hAnsi="VIC-Regular" w:cs="Times New Roman"/>
          <w:color w:val="011A3C"/>
          <w:sz w:val="24"/>
          <w:szCs w:val="24"/>
          <w:lang w:val="en" w:eastAsia="en-AU"/>
        </w:rPr>
        <w:br/>
      </w:r>
      <w:r w:rsidRPr="0061578B">
        <w:rPr>
          <w:rFonts w:ascii="VIC-Regular" w:eastAsia="Times New Roman" w:hAnsi="VIC-Regular" w:cs="Times New Roman"/>
          <w:color w:val="011A3C"/>
          <w:sz w:val="24"/>
          <w:szCs w:val="24"/>
          <w:lang w:val="en" w:eastAsia="en-AU"/>
        </w:rPr>
        <w:br/>
        <w:t>The SFO Weighting reflects the high correlation between student outcomes and family occupation to target funding to schools with EAL learners with greatest need.</w:t>
      </w:r>
      <w:r w:rsidRPr="0061578B">
        <w:rPr>
          <w:rFonts w:ascii="VIC-Regular" w:eastAsia="Times New Roman" w:hAnsi="VIC-Regular" w:cs="Times New Roman"/>
          <w:color w:val="011A3C"/>
          <w:sz w:val="24"/>
          <w:szCs w:val="24"/>
          <w:lang w:val="en" w:eastAsia="en-AU"/>
        </w:rPr>
        <w:br/>
      </w:r>
      <w:r w:rsidRPr="0061578B">
        <w:rPr>
          <w:rFonts w:ascii="VIC-Regular" w:eastAsia="Times New Roman" w:hAnsi="VIC-Regular" w:cs="Times New Roman"/>
          <w:color w:val="011A3C"/>
          <w:sz w:val="24"/>
          <w:szCs w:val="24"/>
          <w:lang w:val="en" w:eastAsia="en-AU"/>
        </w:rPr>
        <w:br/>
        <w:t>A campus is required to reach a threshold before funding will apply. Thresholds are applied separately to primary and secondary students for Pri/Sec</w:t>
      </w:r>
      <w:r w:rsidR="00F01784">
        <w:rPr>
          <w:rFonts w:ascii="VIC-Regular" w:eastAsia="Times New Roman" w:hAnsi="VIC-Regular" w:cs="Times New Roman"/>
          <w:color w:val="011A3C"/>
          <w:sz w:val="24"/>
          <w:szCs w:val="24"/>
          <w:lang w:val="en" w:eastAsia="en-AU"/>
        </w:rPr>
        <w:t>ondary combined</w:t>
      </w:r>
      <w:r w:rsidRPr="0061578B">
        <w:rPr>
          <w:rFonts w:ascii="VIC-Regular" w:eastAsia="Times New Roman" w:hAnsi="VIC-Regular" w:cs="Times New Roman"/>
          <w:color w:val="011A3C"/>
          <w:sz w:val="24"/>
          <w:szCs w:val="24"/>
          <w:lang w:val="en" w:eastAsia="en-AU"/>
        </w:rPr>
        <w:t xml:space="preserve"> campuses. </w:t>
      </w:r>
    </w:p>
    <w:p w14:paraId="1719B856" w14:textId="77777777" w:rsidR="005D5E2A" w:rsidRPr="0061578B" w:rsidRDefault="005D5E2A" w:rsidP="005D5E2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bookmarkStart w:id="30" w:name="_Hlk48394809"/>
      <w:r w:rsidRPr="0061578B">
        <w:rPr>
          <w:rFonts w:ascii="VIC-Regular" w:eastAsia="Times New Roman" w:hAnsi="VIC-Regular" w:cs="Times New Roman"/>
          <w:color w:val="011A3C"/>
          <w:sz w:val="24"/>
          <w:szCs w:val="24"/>
          <w:lang w:val="en" w:eastAsia="en-AU"/>
        </w:rPr>
        <w:t xml:space="preserve">Thresholds are determined by </w:t>
      </w:r>
    </w:p>
    <w:p w14:paraId="50C17131" w14:textId="6615B0C2"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Rates — 202</w:t>
      </w:r>
      <w:r w:rsidR="0061578B" w:rsidRPr="0061578B">
        <w:rPr>
          <w:rFonts w:ascii="VIC-Regular" w:eastAsia="Times New Roman" w:hAnsi="VIC-Regular" w:cs="Times New Roman"/>
          <w:b/>
          <w:bCs/>
          <w:color w:val="011A3C"/>
          <w:sz w:val="24"/>
          <w:szCs w:val="24"/>
          <w:lang w:val="en" w:eastAsia="en-AU"/>
        </w:rPr>
        <w:t>1</w:t>
      </w:r>
    </w:p>
    <w:p w14:paraId="28203640" w14:textId="77777777"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List 1: EAL Index funding thresholds</w:t>
      </w:r>
    </w:p>
    <w:p w14:paraId="76CDF9BB" w14:textId="224C0C0E" w:rsidR="005D5E2A" w:rsidRPr="0061578B" w:rsidRDefault="005D5E2A" w:rsidP="003B4C36">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F01784">
        <w:rPr>
          <w:rFonts w:ascii="VIC-Regular" w:eastAsia="Times New Roman" w:hAnsi="VIC-Regular" w:cs="Times New Roman"/>
          <w:color w:val="011A3C"/>
          <w:sz w:val="24"/>
          <w:szCs w:val="24"/>
          <w:lang w:val="en" w:eastAsia="en-AU"/>
        </w:rPr>
        <w:t xml:space="preserve">Primary — </w:t>
      </w:r>
      <w:r w:rsidRPr="0061578B">
        <w:rPr>
          <w:rFonts w:ascii="VIC-Regular" w:eastAsia="Times New Roman" w:hAnsi="VIC-Regular" w:cs="Times New Roman"/>
          <w:color w:val="011A3C"/>
          <w:sz w:val="24"/>
          <w:szCs w:val="24"/>
          <w:lang w:val="en" w:eastAsia="en-AU"/>
        </w:rPr>
        <w:t>$25,175.33</w:t>
      </w:r>
    </w:p>
    <w:p w14:paraId="56F27BE2" w14:textId="5A772F14" w:rsidR="005D5E2A" w:rsidRPr="00F01784" w:rsidRDefault="005D5E2A" w:rsidP="003B4C36">
      <w:pPr>
        <w:numPr>
          <w:ilvl w:val="0"/>
          <w:numId w:val="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01784">
        <w:rPr>
          <w:rFonts w:ascii="VIC-Regular" w:eastAsia="Times New Roman" w:hAnsi="VIC-Regular" w:cs="Times New Roman"/>
          <w:color w:val="011A3C"/>
          <w:sz w:val="24"/>
          <w:szCs w:val="24"/>
          <w:lang w:val="en" w:eastAsia="en-AU"/>
        </w:rPr>
        <w:t>Secondary — $48,015.72</w:t>
      </w:r>
    </w:p>
    <w:bookmarkEnd w:id="30"/>
    <w:p w14:paraId="2F877E2B" w14:textId="77777777" w:rsidR="005D5E2A" w:rsidRPr="00F01784" w:rsidRDefault="005D5E2A" w:rsidP="00F01784">
      <w:pPr>
        <w:spacing w:before="100" w:beforeAutospacing="1" w:after="100" w:afterAutospacing="1" w:line="360" w:lineRule="atLeast"/>
        <w:ind w:left="720"/>
        <w:rPr>
          <w:rFonts w:ascii="VIC-Regular" w:eastAsia="Times New Roman" w:hAnsi="VIC-Regular" w:cs="Times New Roman"/>
          <w:b/>
          <w:bCs/>
          <w:color w:val="011A3C"/>
          <w:sz w:val="24"/>
          <w:szCs w:val="24"/>
          <w:lang w:val="en" w:eastAsia="en-AU"/>
        </w:rPr>
      </w:pPr>
      <w:r w:rsidRPr="00F01784">
        <w:rPr>
          <w:rFonts w:ascii="VIC-Regular" w:eastAsia="Times New Roman" w:hAnsi="VIC-Regular" w:cs="Times New Roman"/>
          <w:b/>
          <w:bCs/>
          <w:color w:val="011A3C"/>
          <w:sz w:val="24"/>
          <w:szCs w:val="24"/>
          <w:lang w:val="en" w:eastAsia="en-AU"/>
        </w:rPr>
        <w:t>List 2: Index levels and level descriptions</w:t>
      </w:r>
    </w:p>
    <w:p w14:paraId="7C001521" w14:textId="3B7DE541"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1 — Foundation — weighting of 1.00</w:t>
      </w:r>
      <w:r w:rsidR="00F01784">
        <w:rPr>
          <w:rFonts w:ascii="VIC-Regular" w:eastAsia="Times New Roman" w:hAnsi="VIC-Regular" w:cs="Times New Roman"/>
          <w:color w:val="011A3C"/>
          <w:sz w:val="24"/>
          <w:szCs w:val="24"/>
          <w:lang w:val="en" w:eastAsia="en-AU"/>
        </w:rPr>
        <w:t xml:space="preserve"> applied</w:t>
      </w:r>
    </w:p>
    <w:p w14:paraId="2A378734" w14:textId="22BB6CF9"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2 — 2-5 years in Australian school Years 1-6 — weighting of 2.00</w:t>
      </w:r>
      <w:r w:rsidR="00F01784">
        <w:rPr>
          <w:rFonts w:ascii="VIC-Regular" w:eastAsia="Times New Roman" w:hAnsi="VIC-Regular" w:cs="Times New Roman"/>
          <w:color w:val="011A3C"/>
          <w:sz w:val="24"/>
          <w:szCs w:val="24"/>
          <w:lang w:val="en" w:eastAsia="en-AU"/>
        </w:rPr>
        <w:t xml:space="preserve"> applied</w:t>
      </w:r>
    </w:p>
    <w:p w14:paraId="2F4AA53E" w14:textId="156D4BCB"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lastRenderedPageBreak/>
        <w:t>Level 3 — &lt;2 years in Australian school Years 1-6 — weighting of 4.00</w:t>
      </w:r>
      <w:r w:rsidR="00F01784">
        <w:rPr>
          <w:rFonts w:ascii="VIC-Regular" w:eastAsia="Times New Roman" w:hAnsi="VIC-Regular" w:cs="Times New Roman"/>
          <w:color w:val="011A3C"/>
          <w:sz w:val="24"/>
          <w:szCs w:val="24"/>
          <w:lang w:val="en" w:eastAsia="en-AU"/>
        </w:rPr>
        <w:t xml:space="preserve"> applied</w:t>
      </w:r>
    </w:p>
    <w:p w14:paraId="5DB1FCB6" w14:textId="791E18ED"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4 — 2-5 years in Australian school Years 7-12 — weighting of 5.09</w:t>
      </w:r>
      <w:r w:rsidR="00F01784">
        <w:rPr>
          <w:rFonts w:ascii="VIC-Regular" w:eastAsia="Times New Roman" w:hAnsi="VIC-Regular" w:cs="Times New Roman"/>
          <w:color w:val="011A3C"/>
          <w:sz w:val="24"/>
          <w:szCs w:val="24"/>
          <w:lang w:val="en" w:eastAsia="en-AU"/>
        </w:rPr>
        <w:t xml:space="preserve"> applied</w:t>
      </w:r>
    </w:p>
    <w:p w14:paraId="1038AD02" w14:textId="6F9AFDF4"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5 — &lt;2 years in Australian school Years 7-12 — weighting of 7.64</w:t>
      </w:r>
      <w:r w:rsidR="00F01784">
        <w:rPr>
          <w:rFonts w:ascii="VIC-Regular" w:eastAsia="Times New Roman" w:hAnsi="VIC-Regular" w:cs="Times New Roman"/>
          <w:color w:val="011A3C"/>
          <w:sz w:val="24"/>
          <w:szCs w:val="24"/>
          <w:lang w:val="en" w:eastAsia="en-AU"/>
        </w:rPr>
        <w:t xml:space="preserve"> applied</w:t>
      </w:r>
    </w:p>
    <w:p w14:paraId="6951E5DD" w14:textId="091D1F0B" w:rsidR="005D5E2A" w:rsidRPr="0061578B" w:rsidRDefault="005D5E2A" w:rsidP="0061578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List 3: </w:t>
      </w:r>
      <w:r w:rsidR="000D3CC4">
        <w:rPr>
          <w:rFonts w:ascii="VIC-Regular" w:eastAsia="Times New Roman" w:hAnsi="VIC-Regular" w:cs="Times New Roman"/>
          <w:b/>
          <w:bCs/>
          <w:color w:val="011A3C"/>
          <w:sz w:val="24"/>
          <w:szCs w:val="24"/>
          <w:lang w:val="en" w:eastAsia="en-AU"/>
        </w:rPr>
        <w:t>Further w</w:t>
      </w:r>
      <w:r w:rsidRPr="0061578B">
        <w:rPr>
          <w:rFonts w:ascii="VIC-Regular" w:eastAsia="Times New Roman" w:hAnsi="VIC-Regular" w:cs="Times New Roman"/>
          <w:b/>
          <w:bCs/>
          <w:color w:val="011A3C"/>
          <w:sz w:val="24"/>
          <w:szCs w:val="24"/>
          <w:lang w:val="en" w:eastAsia="en-AU"/>
        </w:rPr>
        <w:t xml:space="preserve">eightings </w:t>
      </w:r>
      <w:r w:rsidR="000D3CC4">
        <w:rPr>
          <w:rFonts w:ascii="VIC-Regular" w:eastAsia="Times New Roman" w:hAnsi="VIC-Regular" w:cs="Times New Roman"/>
          <w:b/>
          <w:bCs/>
          <w:color w:val="011A3C"/>
          <w:sz w:val="24"/>
          <w:szCs w:val="24"/>
          <w:lang w:val="en" w:eastAsia="en-AU"/>
        </w:rPr>
        <w:t xml:space="preserve">are </w:t>
      </w:r>
      <w:r w:rsidRPr="0061578B">
        <w:rPr>
          <w:rFonts w:ascii="VIC-Regular" w:eastAsia="Times New Roman" w:hAnsi="VIC-Regular" w:cs="Times New Roman"/>
          <w:b/>
          <w:bCs/>
          <w:color w:val="011A3C"/>
          <w:sz w:val="24"/>
          <w:szCs w:val="24"/>
          <w:lang w:val="en" w:eastAsia="en-AU"/>
        </w:rPr>
        <w:t xml:space="preserve">applied to campuses </w:t>
      </w:r>
      <w:r w:rsidR="000D3CC4">
        <w:rPr>
          <w:rFonts w:ascii="VIC-Regular" w:eastAsia="Times New Roman" w:hAnsi="VIC-Regular" w:cs="Times New Roman"/>
          <w:b/>
          <w:bCs/>
          <w:color w:val="011A3C"/>
          <w:sz w:val="24"/>
          <w:szCs w:val="24"/>
          <w:lang w:val="en" w:eastAsia="en-AU"/>
        </w:rPr>
        <w:t xml:space="preserve"> based on the campus </w:t>
      </w:r>
      <w:r w:rsidRPr="0061578B">
        <w:rPr>
          <w:rFonts w:ascii="VIC-Regular" w:eastAsia="Times New Roman" w:hAnsi="VIC-Regular" w:cs="Times New Roman"/>
          <w:b/>
          <w:bCs/>
          <w:color w:val="011A3C"/>
          <w:sz w:val="24"/>
          <w:szCs w:val="24"/>
          <w:lang w:val="en" w:eastAsia="en-AU"/>
        </w:rPr>
        <w:t>densities of Student Family Occupations (SFO)</w:t>
      </w:r>
    </w:p>
    <w:p w14:paraId="05EC3BB6" w14:textId="73481943"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1 — </w:t>
      </w:r>
      <w:r w:rsidR="000D3CC4">
        <w:rPr>
          <w:rFonts w:ascii="VIC-Regular" w:eastAsia="Times New Roman" w:hAnsi="VIC-Regular" w:cs="Times New Roman"/>
          <w:color w:val="011A3C"/>
          <w:sz w:val="24"/>
          <w:szCs w:val="24"/>
          <w:lang w:val="en" w:eastAsia="en-AU"/>
        </w:rPr>
        <w:t xml:space="preserve">Where a </w:t>
      </w:r>
      <w:r w:rsidRPr="0061578B">
        <w:rPr>
          <w:rFonts w:ascii="VIC-Regular" w:eastAsia="Times New Roman" w:hAnsi="VIC-Regular" w:cs="Times New Roman"/>
          <w:color w:val="011A3C"/>
          <w:sz w:val="24"/>
          <w:szCs w:val="24"/>
          <w:lang w:val="en" w:eastAsia="en-AU"/>
        </w:rPr>
        <w:t xml:space="preserve">SFO density </w:t>
      </w:r>
      <w:r w:rsidR="000D3CC4">
        <w:rPr>
          <w:rFonts w:ascii="VIC-Regular" w:eastAsia="Times New Roman" w:hAnsi="VIC-Regular" w:cs="Times New Roman"/>
          <w:color w:val="011A3C"/>
          <w:sz w:val="24"/>
          <w:szCs w:val="24"/>
          <w:lang w:val="en" w:eastAsia="en-AU"/>
        </w:rPr>
        <w:t xml:space="preserve">is </w:t>
      </w:r>
      <w:r w:rsidRPr="0061578B">
        <w:rPr>
          <w:rFonts w:ascii="VIC-Regular" w:eastAsia="Times New Roman" w:hAnsi="VIC-Regular" w:cs="Times New Roman"/>
          <w:color w:val="011A3C"/>
          <w:sz w:val="24"/>
          <w:szCs w:val="24"/>
          <w:lang w:val="en" w:eastAsia="en-AU"/>
        </w:rPr>
        <w:t>less than or equal to 52.73%</w:t>
      </w:r>
      <w:r w:rsidR="000D3CC4">
        <w:rPr>
          <w:rFonts w:ascii="VIC-Regular" w:eastAsia="Times New Roman" w:hAnsi="VIC-Regular" w:cs="Times New Roman"/>
          <w:color w:val="011A3C"/>
          <w:sz w:val="24"/>
          <w:szCs w:val="24"/>
          <w:lang w:val="en" w:eastAsia="en-AU"/>
        </w:rPr>
        <w:t xml:space="preserve"> (0.5273)</w:t>
      </w:r>
      <w:r w:rsidRPr="0061578B">
        <w:rPr>
          <w:rFonts w:ascii="VIC-Regular" w:eastAsia="Times New Roman" w:hAnsi="VIC-Regular" w:cs="Times New Roman"/>
          <w:color w:val="011A3C"/>
          <w:sz w:val="24"/>
          <w:szCs w:val="24"/>
          <w:lang w:val="en" w:eastAsia="en-AU"/>
        </w:rPr>
        <w:t xml:space="preserve"> — </w:t>
      </w:r>
      <w:r w:rsidR="000D3CC4">
        <w:rPr>
          <w:rFonts w:ascii="VIC-Regular" w:eastAsia="Times New Roman" w:hAnsi="VIC-Regular" w:cs="Times New Roman"/>
          <w:color w:val="011A3C"/>
          <w:sz w:val="24"/>
          <w:szCs w:val="24"/>
          <w:lang w:val="en" w:eastAsia="en-AU"/>
        </w:rPr>
        <w:t xml:space="preserve">a 0.6 </w:t>
      </w:r>
      <w:r w:rsidR="00337C31" w:rsidRPr="0061578B">
        <w:rPr>
          <w:rFonts w:ascii="VIC-Regular" w:eastAsia="Times New Roman" w:hAnsi="VIC-Regular" w:cs="Times New Roman"/>
          <w:color w:val="011A3C"/>
          <w:sz w:val="24"/>
          <w:szCs w:val="24"/>
          <w:lang w:val="en" w:eastAsia="en-AU"/>
        </w:rPr>
        <w:t xml:space="preserve">weight </w:t>
      </w:r>
      <w:r w:rsidR="00337C31">
        <w:rPr>
          <w:rFonts w:ascii="VIC-Regular" w:eastAsia="Times New Roman" w:hAnsi="VIC-Regular" w:cs="Times New Roman"/>
          <w:color w:val="011A3C"/>
          <w:sz w:val="24"/>
          <w:szCs w:val="24"/>
          <w:lang w:val="en" w:eastAsia="en-AU"/>
        </w:rPr>
        <w:t>is</w:t>
      </w:r>
      <w:r w:rsidR="000D3CC4">
        <w:rPr>
          <w:rFonts w:ascii="VIC-Regular" w:eastAsia="Times New Roman" w:hAnsi="VIC-Regular" w:cs="Times New Roman"/>
          <w:color w:val="011A3C"/>
          <w:sz w:val="24"/>
          <w:szCs w:val="24"/>
          <w:lang w:val="en" w:eastAsia="en-AU"/>
        </w:rPr>
        <w:t xml:space="preserve"> applied</w:t>
      </w:r>
    </w:p>
    <w:p w14:paraId="52BB6239" w14:textId="421B741B"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2 — </w:t>
      </w:r>
      <w:r w:rsidR="000D3CC4">
        <w:rPr>
          <w:rFonts w:ascii="VIC-Regular" w:eastAsia="Times New Roman" w:hAnsi="VIC-Regular" w:cs="Times New Roman"/>
          <w:color w:val="011A3C"/>
          <w:sz w:val="24"/>
          <w:szCs w:val="24"/>
          <w:lang w:val="en" w:eastAsia="en-AU"/>
        </w:rPr>
        <w:t xml:space="preserve">Where a </w:t>
      </w:r>
      <w:r w:rsidRPr="0061578B">
        <w:rPr>
          <w:rFonts w:ascii="VIC-Regular" w:eastAsia="Times New Roman" w:hAnsi="VIC-Regular" w:cs="Times New Roman"/>
          <w:color w:val="011A3C"/>
          <w:sz w:val="24"/>
          <w:szCs w:val="24"/>
          <w:lang w:val="en" w:eastAsia="en-AU"/>
        </w:rPr>
        <w:t>SFO density greater than 52.74%</w:t>
      </w:r>
      <w:r w:rsidR="000D3CC4">
        <w:rPr>
          <w:rFonts w:ascii="VIC-Regular" w:eastAsia="Times New Roman" w:hAnsi="VIC-Regular" w:cs="Times New Roman"/>
          <w:color w:val="011A3C"/>
          <w:sz w:val="24"/>
          <w:szCs w:val="24"/>
          <w:lang w:val="en" w:eastAsia="en-AU"/>
        </w:rPr>
        <w:t xml:space="preserve"> (0.5274)</w:t>
      </w:r>
      <w:r w:rsidRPr="0061578B">
        <w:rPr>
          <w:rFonts w:ascii="VIC-Regular" w:eastAsia="Times New Roman" w:hAnsi="VIC-Regular" w:cs="Times New Roman"/>
          <w:color w:val="011A3C"/>
          <w:sz w:val="24"/>
          <w:szCs w:val="24"/>
          <w:lang w:val="en" w:eastAsia="en-AU"/>
        </w:rPr>
        <w:t xml:space="preserve"> but less than or equal to 54.69% </w:t>
      </w:r>
      <w:r w:rsidR="000D3CC4">
        <w:rPr>
          <w:rFonts w:ascii="VIC-Regular" w:eastAsia="Times New Roman" w:hAnsi="VIC-Regular" w:cs="Times New Roman"/>
          <w:color w:val="011A3C"/>
          <w:sz w:val="24"/>
          <w:szCs w:val="24"/>
          <w:lang w:val="en" w:eastAsia="en-AU"/>
        </w:rPr>
        <w:t>(0.5469)</w:t>
      </w:r>
      <w:r w:rsidRPr="0061578B">
        <w:rPr>
          <w:rFonts w:ascii="VIC-Regular" w:eastAsia="Times New Roman" w:hAnsi="VIC-Regular" w:cs="Times New Roman"/>
          <w:color w:val="011A3C"/>
          <w:sz w:val="24"/>
          <w:szCs w:val="24"/>
          <w:lang w:val="en" w:eastAsia="en-AU"/>
        </w:rPr>
        <w:t xml:space="preserve">— </w:t>
      </w:r>
      <w:r w:rsidR="000D3CC4">
        <w:rPr>
          <w:rFonts w:ascii="VIC-Regular" w:eastAsia="Times New Roman" w:hAnsi="VIC-Regular" w:cs="Times New Roman"/>
          <w:color w:val="011A3C"/>
          <w:sz w:val="24"/>
          <w:szCs w:val="24"/>
          <w:lang w:val="en" w:eastAsia="en-AU"/>
        </w:rPr>
        <w:t xml:space="preserve">0 1.00 </w:t>
      </w:r>
      <w:r w:rsidR="00337C31" w:rsidRPr="0061578B">
        <w:rPr>
          <w:rFonts w:ascii="VIC-Regular" w:eastAsia="Times New Roman" w:hAnsi="VIC-Regular" w:cs="Times New Roman"/>
          <w:color w:val="011A3C"/>
          <w:sz w:val="24"/>
          <w:szCs w:val="24"/>
          <w:lang w:val="en" w:eastAsia="en-AU"/>
        </w:rPr>
        <w:t xml:space="preserve">weight </w:t>
      </w:r>
      <w:r w:rsidR="00337C31">
        <w:rPr>
          <w:rFonts w:ascii="VIC-Regular" w:eastAsia="Times New Roman" w:hAnsi="VIC-Regular" w:cs="Times New Roman"/>
          <w:color w:val="011A3C"/>
          <w:sz w:val="24"/>
          <w:szCs w:val="24"/>
          <w:lang w:val="en" w:eastAsia="en-AU"/>
        </w:rPr>
        <w:t>is</w:t>
      </w:r>
      <w:r w:rsidR="000D3CC4">
        <w:rPr>
          <w:rFonts w:ascii="VIC-Regular" w:eastAsia="Times New Roman" w:hAnsi="VIC-Regular" w:cs="Times New Roman"/>
          <w:color w:val="011A3C"/>
          <w:sz w:val="24"/>
          <w:szCs w:val="24"/>
          <w:lang w:val="en" w:eastAsia="en-AU"/>
        </w:rPr>
        <w:t xml:space="preserve"> applied</w:t>
      </w:r>
    </w:p>
    <w:p w14:paraId="79B40BE1" w14:textId="2B958A2D" w:rsidR="005D5E2A" w:rsidRPr="0061578B" w:rsidRDefault="005D5E2A" w:rsidP="0061578B">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Level 3 — </w:t>
      </w:r>
      <w:r w:rsidR="000D3CC4">
        <w:rPr>
          <w:rFonts w:ascii="VIC-Regular" w:eastAsia="Times New Roman" w:hAnsi="VIC-Regular" w:cs="Times New Roman"/>
          <w:color w:val="011A3C"/>
          <w:sz w:val="24"/>
          <w:szCs w:val="24"/>
          <w:lang w:val="en" w:eastAsia="en-AU"/>
        </w:rPr>
        <w:t xml:space="preserve">Where a </w:t>
      </w:r>
      <w:r w:rsidRPr="0061578B">
        <w:rPr>
          <w:rFonts w:ascii="VIC-Regular" w:eastAsia="Times New Roman" w:hAnsi="VIC-Regular" w:cs="Times New Roman"/>
          <w:color w:val="011A3C"/>
          <w:sz w:val="24"/>
          <w:szCs w:val="24"/>
          <w:lang w:val="en" w:eastAsia="en-AU"/>
        </w:rPr>
        <w:t xml:space="preserve">SFO density </w:t>
      </w:r>
      <w:r w:rsidR="000D3CC4">
        <w:rPr>
          <w:rFonts w:ascii="VIC-Regular" w:eastAsia="Times New Roman" w:hAnsi="VIC-Regular" w:cs="Times New Roman"/>
          <w:color w:val="011A3C"/>
          <w:sz w:val="24"/>
          <w:szCs w:val="24"/>
          <w:lang w:val="en" w:eastAsia="en-AU"/>
        </w:rPr>
        <w:t xml:space="preserve">is </w:t>
      </w:r>
      <w:r w:rsidRPr="0061578B">
        <w:rPr>
          <w:rFonts w:ascii="VIC-Regular" w:eastAsia="Times New Roman" w:hAnsi="VIC-Regular" w:cs="Times New Roman"/>
          <w:color w:val="011A3C"/>
          <w:sz w:val="24"/>
          <w:szCs w:val="24"/>
          <w:lang w:val="en" w:eastAsia="en-AU"/>
        </w:rPr>
        <w:t>greater</w:t>
      </w:r>
      <w:r w:rsidR="000D3CC4">
        <w:rPr>
          <w:rFonts w:ascii="VIC-Regular" w:eastAsia="Times New Roman" w:hAnsi="VIC-Regular" w:cs="Times New Roman"/>
          <w:color w:val="011A3C"/>
          <w:sz w:val="24"/>
          <w:szCs w:val="24"/>
          <w:lang w:val="en" w:eastAsia="en-AU"/>
        </w:rPr>
        <w:t xml:space="preserve"> or equal to</w:t>
      </w:r>
      <w:r w:rsidRPr="0061578B">
        <w:rPr>
          <w:rFonts w:ascii="VIC-Regular" w:eastAsia="Times New Roman" w:hAnsi="VIC-Regular" w:cs="Times New Roman"/>
          <w:color w:val="011A3C"/>
          <w:sz w:val="24"/>
          <w:szCs w:val="24"/>
          <w:lang w:val="en" w:eastAsia="en-AU"/>
        </w:rPr>
        <w:t xml:space="preserve"> 54.70% </w:t>
      </w:r>
      <w:r w:rsidR="000D3CC4">
        <w:rPr>
          <w:rFonts w:ascii="VIC-Regular" w:eastAsia="Times New Roman" w:hAnsi="VIC-Regular" w:cs="Times New Roman"/>
          <w:color w:val="011A3C"/>
          <w:sz w:val="24"/>
          <w:szCs w:val="24"/>
          <w:lang w:val="en" w:eastAsia="en-AU"/>
        </w:rPr>
        <w:t>(0.5470)</w:t>
      </w:r>
      <w:r w:rsidRPr="0061578B">
        <w:rPr>
          <w:rFonts w:ascii="VIC-Regular" w:eastAsia="Times New Roman" w:hAnsi="VIC-Regular" w:cs="Times New Roman"/>
          <w:color w:val="011A3C"/>
          <w:sz w:val="24"/>
          <w:szCs w:val="24"/>
          <w:lang w:val="en" w:eastAsia="en-AU"/>
        </w:rPr>
        <w:t xml:space="preserve">— </w:t>
      </w:r>
      <w:r w:rsidR="000D3CC4">
        <w:rPr>
          <w:rFonts w:ascii="VIC-Regular" w:eastAsia="Times New Roman" w:hAnsi="VIC-Regular" w:cs="Times New Roman"/>
          <w:color w:val="011A3C"/>
          <w:sz w:val="24"/>
          <w:szCs w:val="24"/>
          <w:lang w:val="en" w:eastAsia="en-AU"/>
        </w:rPr>
        <w:t xml:space="preserve">a 1.40 </w:t>
      </w:r>
      <w:r w:rsidR="00337C31" w:rsidRPr="0061578B">
        <w:rPr>
          <w:rFonts w:ascii="VIC-Regular" w:eastAsia="Times New Roman" w:hAnsi="VIC-Regular" w:cs="Times New Roman"/>
          <w:color w:val="011A3C"/>
          <w:sz w:val="24"/>
          <w:szCs w:val="24"/>
          <w:lang w:val="en" w:eastAsia="en-AU"/>
        </w:rPr>
        <w:t xml:space="preserve">weight </w:t>
      </w:r>
      <w:r w:rsidR="00337C31">
        <w:rPr>
          <w:rFonts w:ascii="VIC-Regular" w:eastAsia="Times New Roman" w:hAnsi="VIC-Regular" w:cs="Times New Roman"/>
          <w:color w:val="011A3C"/>
          <w:sz w:val="24"/>
          <w:szCs w:val="24"/>
          <w:lang w:val="en" w:eastAsia="en-AU"/>
        </w:rPr>
        <w:t>is</w:t>
      </w:r>
      <w:r w:rsidR="000D3CC4">
        <w:rPr>
          <w:rFonts w:ascii="VIC-Regular" w:eastAsia="Times New Roman" w:hAnsi="VIC-Regular" w:cs="Times New Roman"/>
          <w:color w:val="011A3C"/>
          <w:sz w:val="24"/>
          <w:szCs w:val="24"/>
          <w:lang w:val="en" w:eastAsia="en-AU"/>
        </w:rPr>
        <w:t xml:space="preserve"> applied</w:t>
      </w:r>
    </w:p>
    <w:p w14:paraId="554A5A5A" w14:textId="77777777" w:rsidR="00F85311" w:rsidRDefault="00F85311"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p>
    <w:p w14:paraId="61DE382F" w14:textId="77777777" w:rsidR="00F85311" w:rsidRDefault="00F85311"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p>
    <w:p w14:paraId="63C01417" w14:textId="77777777" w:rsidR="00F85311" w:rsidRDefault="005D5E2A" w:rsidP="00F85311">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 xml:space="preserve">The combined effect of Lists 1, 2 and 3 results in the following matrix: </w:t>
      </w:r>
    </w:p>
    <w:p w14:paraId="1A7E6556" w14:textId="1B88A21E" w:rsidR="005D5E2A" w:rsidRPr="00F85311" w:rsidRDefault="005D5E2A" w:rsidP="00F85311">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b/>
          <w:bCs/>
          <w:color w:val="011A3C"/>
          <w:sz w:val="24"/>
          <w:szCs w:val="24"/>
          <w:lang w:val="en" w:eastAsia="en-AU"/>
        </w:rPr>
        <w:t>List 4: Allocation matrix for total EAL Index funding</w:t>
      </w:r>
    </w:p>
    <w:tbl>
      <w:tblPr>
        <w:tblW w:w="9750" w:type="dxa"/>
        <w:tblCellMar>
          <w:top w:w="15" w:type="dxa"/>
          <w:left w:w="15" w:type="dxa"/>
          <w:bottom w:w="15" w:type="dxa"/>
          <w:right w:w="15" w:type="dxa"/>
        </w:tblCellMar>
        <w:tblLook w:val="04A0" w:firstRow="1" w:lastRow="0" w:firstColumn="1" w:lastColumn="0" w:noHBand="0" w:noVBand="1"/>
      </w:tblPr>
      <w:tblGrid>
        <w:gridCol w:w="669"/>
        <w:gridCol w:w="4001"/>
        <w:gridCol w:w="1270"/>
        <w:gridCol w:w="1270"/>
        <w:gridCol w:w="1270"/>
        <w:gridCol w:w="1270"/>
      </w:tblGrid>
      <w:tr w:rsidR="005D5E2A" w:rsidRPr="0061578B" w14:paraId="749DC306" w14:textId="77777777" w:rsidTr="007F1D90">
        <w:trPr>
          <w:tblHeader/>
        </w:trPr>
        <w:tc>
          <w:tcPr>
            <w:tcW w:w="0" w:type="auto"/>
            <w:shd w:val="clear" w:color="auto" w:fill="F6F6F9"/>
            <w:hideMark/>
          </w:tcPr>
          <w:p w14:paraId="7E02586C" w14:textId="77777777" w:rsidR="005D5E2A" w:rsidRPr="0061578B" w:rsidRDefault="005D5E2A" w:rsidP="007F1D90">
            <w:pPr>
              <w:spacing w:after="0" w:line="24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Level</w:t>
            </w:r>
          </w:p>
        </w:tc>
        <w:tc>
          <w:tcPr>
            <w:tcW w:w="4264" w:type="dxa"/>
            <w:shd w:val="clear" w:color="auto" w:fill="F6F6F9"/>
            <w:hideMark/>
          </w:tcPr>
          <w:p w14:paraId="3B0732AD" w14:textId="77777777" w:rsidR="005D5E2A" w:rsidRPr="0061578B" w:rsidRDefault="005D5E2A" w:rsidP="007F1D90">
            <w:pPr>
              <w:spacing w:after="0" w:line="24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Description</w:t>
            </w:r>
          </w:p>
        </w:tc>
        <w:tc>
          <w:tcPr>
            <w:tcW w:w="514" w:type="dxa"/>
            <w:shd w:val="clear" w:color="auto" w:fill="F6F6F9"/>
            <w:hideMark/>
          </w:tcPr>
          <w:p w14:paraId="1E2FF20A" w14:textId="77777777" w:rsidR="005D5E2A" w:rsidRPr="0061578B" w:rsidRDefault="005D5E2A" w:rsidP="007F1D90">
            <w:pPr>
              <w:spacing w:after="0" w:line="240" w:lineRule="atLeast"/>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Weighting</w:t>
            </w:r>
          </w:p>
        </w:tc>
        <w:tc>
          <w:tcPr>
            <w:tcW w:w="0" w:type="auto"/>
            <w:shd w:val="clear" w:color="auto" w:fill="F6F6F9"/>
            <w:hideMark/>
          </w:tcPr>
          <w:p w14:paraId="30651F48" w14:textId="1B9B3297" w:rsidR="005D5E2A" w:rsidRPr="0061578B" w:rsidRDefault="005D5E2A" w:rsidP="0061578B">
            <w:pPr>
              <w:spacing w:after="0" w:line="240" w:lineRule="atLeast"/>
              <w:jc w:val="center"/>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SFO Weighting</w:t>
            </w:r>
            <w:r w:rsidR="000D3CC4">
              <w:rPr>
                <w:rFonts w:ascii="VIC-Regular" w:eastAsia="Times New Roman" w:hAnsi="VIC-Regular" w:cs="Times New Roman"/>
                <w:b/>
                <w:bCs/>
                <w:color w:val="011A3C"/>
                <w:sz w:val="24"/>
                <w:szCs w:val="24"/>
                <w:lang w:val="en" w:eastAsia="en-AU"/>
              </w:rPr>
              <w:t xml:space="preserve"> 1</w:t>
            </w:r>
          </w:p>
        </w:tc>
        <w:tc>
          <w:tcPr>
            <w:tcW w:w="0" w:type="auto"/>
            <w:shd w:val="clear" w:color="auto" w:fill="F6F6F9"/>
            <w:hideMark/>
          </w:tcPr>
          <w:p w14:paraId="326DE918" w14:textId="48EE1DB7" w:rsidR="005D5E2A" w:rsidRPr="0061578B" w:rsidRDefault="005D5E2A" w:rsidP="0061578B">
            <w:pPr>
              <w:spacing w:after="0" w:line="240" w:lineRule="atLeast"/>
              <w:jc w:val="center"/>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SFO Weighting</w:t>
            </w:r>
            <w:r w:rsidR="000D3CC4">
              <w:rPr>
                <w:rFonts w:ascii="VIC-Regular" w:eastAsia="Times New Roman" w:hAnsi="VIC-Regular" w:cs="Times New Roman"/>
                <w:b/>
                <w:bCs/>
                <w:color w:val="011A3C"/>
                <w:sz w:val="24"/>
                <w:szCs w:val="24"/>
                <w:lang w:val="en" w:eastAsia="en-AU"/>
              </w:rPr>
              <w:t xml:space="preserve"> 2</w:t>
            </w:r>
          </w:p>
        </w:tc>
        <w:tc>
          <w:tcPr>
            <w:tcW w:w="0" w:type="auto"/>
            <w:shd w:val="clear" w:color="auto" w:fill="F6F6F9"/>
            <w:hideMark/>
          </w:tcPr>
          <w:p w14:paraId="3D9412B0" w14:textId="2705F13C" w:rsidR="005D5E2A" w:rsidRPr="0061578B" w:rsidRDefault="005D5E2A" w:rsidP="0061578B">
            <w:pPr>
              <w:spacing w:after="0" w:line="240" w:lineRule="atLeast"/>
              <w:jc w:val="center"/>
              <w:rPr>
                <w:rFonts w:ascii="VIC-Regular" w:eastAsia="Times New Roman" w:hAnsi="VIC-Regular" w:cs="Times New Roman"/>
                <w:b/>
                <w:bCs/>
                <w:color w:val="011A3C"/>
                <w:sz w:val="24"/>
                <w:szCs w:val="24"/>
                <w:lang w:val="en" w:eastAsia="en-AU"/>
              </w:rPr>
            </w:pPr>
            <w:r w:rsidRPr="0061578B">
              <w:rPr>
                <w:rFonts w:ascii="VIC-Regular" w:eastAsia="Times New Roman" w:hAnsi="VIC-Regular" w:cs="Times New Roman"/>
                <w:b/>
                <w:bCs/>
                <w:color w:val="011A3C"/>
                <w:sz w:val="24"/>
                <w:szCs w:val="24"/>
                <w:lang w:val="en" w:eastAsia="en-AU"/>
              </w:rPr>
              <w:t>SFO Weighting</w:t>
            </w:r>
            <w:r w:rsidR="000D3CC4">
              <w:rPr>
                <w:rFonts w:ascii="VIC-Regular" w:eastAsia="Times New Roman" w:hAnsi="VIC-Regular" w:cs="Times New Roman"/>
                <w:b/>
                <w:bCs/>
                <w:color w:val="011A3C"/>
                <w:sz w:val="24"/>
                <w:szCs w:val="24"/>
                <w:lang w:val="en" w:eastAsia="en-AU"/>
              </w:rPr>
              <w:t xml:space="preserve"> 3</w:t>
            </w:r>
          </w:p>
        </w:tc>
      </w:tr>
      <w:tr w:rsidR="005D5E2A" w:rsidRPr="0061578B" w14:paraId="5C754E63" w14:textId="77777777" w:rsidTr="007F1D90">
        <w:tc>
          <w:tcPr>
            <w:tcW w:w="0" w:type="auto"/>
            <w:hideMark/>
          </w:tcPr>
          <w:p w14:paraId="634FBC42" w14:textId="77777777" w:rsidR="005D5E2A" w:rsidRPr="0061578B" w:rsidRDefault="005D5E2A" w:rsidP="007F1D90">
            <w:pPr>
              <w:spacing w:after="0" w:line="240" w:lineRule="atLeast"/>
              <w:rPr>
                <w:rFonts w:ascii="VIC-Regular" w:eastAsia="Times New Roman" w:hAnsi="VIC-Regular" w:cs="Times New Roman"/>
                <w:color w:val="011A3C"/>
                <w:sz w:val="24"/>
                <w:szCs w:val="24"/>
                <w:lang w:val="en" w:eastAsia="en-AU"/>
              </w:rPr>
            </w:pPr>
          </w:p>
        </w:tc>
        <w:tc>
          <w:tcPr>
            <w:tcW w:w="4264" w:type="dxa"/>
            <w:hideMark/>
          </w:tcPr>
          <w:p w14:paraId="04F60C38"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p>
        </w:tc>
        <w:tc>
          <w:tcPr>
            <w:tcW w:w="514" w:type="dxa"/>
            <w:hideMark/>
          </w:tcPr>
          <w:p w14:paraId="6E3F6475"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p>
        </w:tc>
        <w:tc>
          <w:tcPr>
            <w:tcW w:w="0" w:type="auto"/>
            <w:hideMark/>
          </w:tcPr>
          <w:p w14:paraId="10FDCB7A" w14:textId="77777777"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0.6</w:t>
            </w:r>
            <w:r w:rsidRPr="0061578B">
              <w:rPr>
                <w:rFonts w:ascii="VIC-Regular" w:eastAsia="Times New Roman" w:hAnsi="VIC-Regular" w:cs="Times New Roman"/>
                <w:color w:val="011A3C"/>
                <w:sz w:val="24"/>
                <w:szCs w:val="24"/>
                <w:lang w:val="en" w:eastAsia="en-AU"/>
              </w:rPr>
              <w:br/>
              <w:t>$</w:t>
            </w:r>
          </w:p>
        </w:tc>
        <w:tc>
          <w:tcPr>
            <w:tcW w:w="0" w:type="auto"/>
            <w:hideMark/>
          </w:tcPr>
          <w:p w14:paraId="7373BB3E" w14:textId="77777777"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1.0</w:t>
            </w:r>
            <w:r w:rsidRPr="0061578B">
              <w:rPr>
                <w:rFonts w:ascii="VIC-Regular" w:eastAsia="Times New Roman" w:hAnsi="VIC-Regular" w:cs="Times New Roman"/>
                <w:color w:val="011A3C"/>
                <w:sz w:val="24"/>
                <w:szCs w:val="24"/>
                <w:lang w:val="en" w:eastAsia="en-AU"/>
              </w:rPr>
              <w:br/>
              <w:t>$</w:t>
            </w:r>
          </w:p>
        </w:tc>
        <w:tc>
          <w:tcPr>
            <w:tcW w:w="0" w:type="auto"/>
            <w:hideMark/>
          </w:tcPr>
          <w:p w14:paraId="39E33502" w14:textId="77777777"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1.4</w:t>
            </w:r>
            <w:r w:rsidRPr="0061578B">
              <w:rPr>
                <w:rFonts w:ascii="VIC-Regular" w:eastAsia="Times New Roman" w:hAnsi="VIC-Regular" w:cs="Times New Roman"/>
                <w:color w:val="011A3C"/>
                <w:sz w:val="24"/>
                <w:szCs w:val="24"/>
                <w:lang w:val="en" w:eastAsia="en-AU"/>
              </w:rPr>
              <w:br/>
              <w:t>$</w:t>
            </w:r>
          </w:p>
        </w:tc>
      </w:tr>
      <w:tr w:rsidR="005D5E2A" w:rsidRPr="0061578B" w14:paraId="277A34E1" w14:textId="77777777" w:rsidTr="007F1D90">
        <w:tc>
          <w:tcPr>
            <w:tcW w:w="0" w:type="auto"/>
            <w:shd w:val="clear" w:color="auto" w:fill="F6F6F9"/>
            <w:hideMark/>
          </w:tcPr>
          <w:p w14:paraId="1B4D22CE"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w:t>
            </w:r>
          </w:p>
        </w:tc>
        <w:tc>
          <w:tcPr>
            <w:tcW w:w="4264" w:type="dxa"/>
            <w:shd w:val="clear" w:color="auto" w:fill="F6F6F9"/>
            <w:hideMark/>
          </w:tcPr>
          <w:p w14:paraId="793CEF75"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In year Foundation</w:t>
            </w:r>
          </w:p>
        </w:tc>
        <w:tc>
          <w:tcPr>
            <w:tcW w:w="514" w:type="dxa"/>
            <w:shd w:val="clear" w:color="auto" w:fill="F6F6F9"/>
            <w:hideMark/>
          </w:tcPr>
          <w:p w14:paraId="31BB454E"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1.00</w:t>
            </w:r>
          </w:p>
        </w:tc>
        <w:tc>
          <w:tcPr>
            <w:tcW w:w="0" w:type="auto"/>
            <w:shd w:val="clear" w:color="auto" w:fill="F6F6F9"/>
            <w:hideMark/>
          </w:tcPr>
          <w:p w14:paraId="785E8717" w14:textId="5C16FF53"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$340.05</w:t>
            </w:r>
          </w:p>
        </w:tc>
        <w:tc>
          <w:tcPr>
            <w:tcW w:w="0" w:type="auto"/>
            <w:shd w:val="clear" w:color="auto" w:fill="F6F6F9"/>
            <w:hideMark/>
          </w:tcPr>
          <w:p w14:paraId="5D7181AD" w14:textId="794E0B7C"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$566.76</w:t>
            </w:r>
          </w:p>
        </w:tc>
        <w:tc>
          <w:tcPr>
            <w:tcW w:w="0" w:type="auto"/>
            <w:shd w:val="clear" w:color="auto" w:fill="F6F6F9"/>
            <w:hideMark/>
          </w:tcPr>
          <w:p w14:paraId="6688C1A8" w14:textId="421B894F"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$793.46</w:t>
            </w:r>
          </w:p>
        </w:tc>
      </w:tr>
      <w:tr w:rsidR="005D5E2A" w:rsidRPr="0061578B" w14:paraId="59FA1906" w14:textId="77777777" w:rsidTr="007F1D90">
        <w:tc>
          <w:tcPr>
            <w:tcW w:w="0" w:type="auto"/>
            <w:hideMark/>
          </w:tcPr>
          <w:p w14:paraId="164B7654"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w:t>
            </w:r>
          </w:p>
        </w:tc>
        <w:tc>
          <w:tcPr>
            <w:tcW w:w="4264" w:type="dxa"/>
            <w:hideMark/>
          </w:tcPr>
          <w:p w14:paraId="68073F24"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2-5 years in Australian school Years 1-6</w:t>
            </w:r>
          </w:p>
        </w:tc>
        <w:tc>
          <w:tcPr>
            <w:tcW w:w="514" w:type="dxa"/>
            <w:hideMark/>
          </w:tcPr>
          <w:p w14:paraId="790E44FB"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2.00</w:t>
            </w:r>
          </w:p>
        </w:tc>
        <w:tc>
          <w:tcPr>
            <w:tcW w:w="0" w:type="auto"/>
            <w:hideMark/>
          </w:tcPr>
          <w:p w14:paraId="33794985" w14:textId="356F7FE1"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$680.11</w:t>
            </w:r>
          </w:p>
        </w:tc>
        <w:tc>
          <w:tcPr>
            <w:tcW w:w="0" w:type="auto"/>
            <w:hideMark/>
          </w:tcPr>
          <w:p w14:paraId="4F06425D" w14:textId="6174FF72"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133.51</w:t>
            </w:r>
          </w:p>
        </w:tc>
        <w:tc>
          <w:tcPr>
            <w:tcW w:w="0" w:type="auto"/>
            <w:hideMark/>
          </w:tcPr>
          <w:p w14:paraId="3E2CDBD4" w14:textId="379425D4"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586.92</w:t>
            </w:r>
          </w:p>
        </w:tc>
      </w:tr>
      <w:tr w:rsidR="005D5E2A" w:rsidRPr="0061578B" w14:paraId="73AF5D27" w14:textId="77777777" w:rsidTr="007F1D90">
        <w:tc>
          <w:tcPr>
            <w:tcW w:w="0" w:type="auto"/>
            <w:shd w:val="clear" w:color="auto" w:fill="F6F6F9"/>
            <w:hideMark/>
          </w:tcPr>
          <w:p w14:paraId="6A9EE02E"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3</w:t>
            </w:r>
          </w:p>
        </w:tc>
        <w:tc>
          <w:tcPr>
            <w:tcW w:w="4264" w:type="dxa"/>
            <w:shd w:val="clear" w:color="auto" w:fill="F6F6F9"/>
            <w:hideMark/>
          </w:tcPr>
          <w:p w14:paraId="6C0B3F37"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&lt;2 years in Australian school Years 1-6</w:t>
            </w:r>
          </w:p>
        </w:tc>
        <w:tc>
          <w:tcPr>
            <w:tcW w:w="514" w:type="dxa"/>
            <w:shd w:val="clear" w:color="auto" w:fill="F6F6F9"/>
            <w:hideMark/>
          </w:tcPr>
          <w:p w14:paraId="06852083"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4.00</w:t>
            </w:r>
          </w:p>
        </w:tc>
        <w:tc>
          <w:tcPr>
            <w:tcW w:w="0" w:type="auto"/>
            <w:shd w:val="clear" w:color="auto" w:fill="F6F6F9"/>
            <w:hideMark/>
          </w:tcPr>
          <w:p w14:paraId="3C3CFB0F" w14:textId="3884CAAA"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360.22</w:t>
            </w:r>
          </w:p>
        </w:tc>
        <w:tc>
          <w:tcPr>
            <w:tcW w:w="0" w:type="auto"/>
            <w:shd w:val="clear" w:color="auto" w:fill="F6F6F9"/>
            <w:hideMark/>
          </w:tcPr>
          <w:p w14:paraId="0A785481" w14:textId="362959CD"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267.03</w:t>
            </w:r>
          </w:p>
        </w:tc>
        <w:tc>
          <w:tcPr>
            <w:tcW w:w="0" w:type="auto"/>
            <w:shd w:val="clear" w:color="auto" w:fill="F6F6F9"/>
            <w:hideMark/>
          </w:tcPr>
          <w:p w14:paraId="454E9B79" w14:textId="774E356C"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$3</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173.84</w:t>
            </w:r>
          </w:p>
        </w:tc>
      </w:tr>
      <w:tr w:rsidR="005D5E2A" w:rsidRPr="0061578B" w14:paraId="1FCD0536" w14:textId="77777777" w:rsidTr="007F1D90">
        <w:tc>
          <w:tcPr>
            <w:tcW w:w="0" w:type="auto"/>
            <w:hideMark/>
          </w:tcPr>
          <w:p w14:paraId="29958619"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4</w:t>
            </w:r>
          </w:p>
        </w:tc>
        <w:tc>
          <w:tcPr>
            <w:tcW w:w="4264" w:type="dxa"/>
            <w:hideMark/>
          </w:tcPr>
          <w:p w14:paraId="68463A55" w14:textId="77777777" w:rsidR="005D5E2A" w:rsidRPr="0061578B" w:rsidRDefault="005D5E2A" w:rsidP="007F1D9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2-5 years in Australian school Years 7-12</w:t>
            </w:r>
          </w:p>
        </w:tc>
        <w:tc>
          <w:tcPr>
            <w:tcW w:w="514" w:type="dxa"/>
            <w:hideMark/>
          </w:tcPr>
          <w:p w14:paraId="6938B321"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5.09</w:t>
            </w:r>
          </w:p>
        </w:tc>
        <w:tc>
          <w:tcPr>
            <w:tcW w:w="0" w:type="auto"/>
            <w:hideMark/>
          </w:tcPr>
          <w:p w14:paraId="3F3CFA8A" w14:textId="5F4F4C35"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$1</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730.87</w:t>
            </w:r>
          </w:p>
        </w:tc>
        <w:tc>
          <w:tcPr>
            <w:tcW w:w="0" w:type="auto"/>
            <w:hideMark/>
          </w:tcPr>
          <w:p w14:paraId="21645C26" w14:textId="3840D029"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884.79</w:t>
            </w:r>
          </w:p>
        </w:tc>
        <w:tc>
          <w:tcPr>
            <w:tcW w:w="0" w:type="auto"/>
            <w:hideMark/>
          </w:tcPr>
          <w:p w14:paraId="222FD361" w14:textId="7CCD3128"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$4</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038.71</w:t>
            </w:r>
          </w:p>
        </w:tc>
      </w:tr>
      <w:tr w:rsidR="005D5E2A" w:rsidRPr="0061578B" w14:paraId="6AE3450B" w14:textId="77777777" w:rsidTr="007F1D90">
        <w:tc>
          <w:tcPr>
            <w:tcW w:w="0" w:type="auto"/>
            <w:shd w:val="clear" w:color="auto" w:fill="F6F6F9"/>
            <w:hideMark/>
          </w:tcPr>
          <w:p w14:paraId="174D9B59"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5</w:t>
            </w:r>
          </w:p>
        </w:tc>
        <w:tc>
          <w:tcPr>
            <w:tcW w:w="4264" w:type="dxa"/>
            <w:shd w:val="clear" w:color="auto" w:fill="F6F6F9"/>
            <w:hideMark/>
          </w:tcPr>
          <w:p w14:paraId="174D57B0"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&lt;2 years in Australian school Years 7-12</w:t>
            </w:r>
          </w:p>
        </w:tc>
        <w:tc>
          <w:tcPr>
            <w:tcW w:w="514" w:type="dxa"/>
            <w:shd w:val="clear" w:color="auto" w:fill="F6F6F9"/>
            <w:hideMark/>
          </w:tcPr>
          <w:p w14:paraId="0D29B0D0" w14:textId="77777777" w:rsidR="005D5E2A" w:rsidRPr="0061578B" w:rsidRDefault="005D5E2A" w:rsidP="007F1D90">
            <w:pPr>
              <w:spacing w:after="0"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7.64</w:t>
            </w:r>
          </w:p>
        </w:tc>
        <w:tc>
          <w:tcPr>
            <w:tcW w:w="0" w:type="auto"/>
            <w:shd w:val="clear" w:color="auto" w:fill="F6F6F9"/>
            <w:hideMark/>
          </w:tcPr>
          <w:p w14:paraId="1370E60B" w14:textId="2D99CAFA"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$2</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598.01</w:t>
            </w:r>
          </w:p>
        </w:tc>
        <w:tc>
          <w:tcPr>
            <w:tcW w:w="0" w:type="auto"/>
            <w:shd w:val="clear" w:color="auto" w:fill="F6F6F9"/>
            <w:hideMark/>
          </w:tcPr>
          <w:p w14:paraId="6D35FC99" w14:textId="7D380614"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$4</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330.01</w:t>
            </w:r>
          </w:p>
        </w:tc>
        <w:tc>
          <w:tcPr>
            <w:tcW w:w="0" w:type="auto"/>
            <w:shd w:val="clear" w:color="auto" w:fill="F6F6F9"/>
            <w:hideMark/>
          </w:tcPr>
          <w:p w14:paraId="4B287A29" w14:textId="5EEC3A30" w:rsidR="005D5E2A" w:rsidRPr="0061578B" w:rsidRDefault="005D5E2A" w:rsidP="0061578B">
            <w:pPr>
              <w:spacing w:after="0" w:line="240" w:lineRule="auto"/>
              <w:jc w:val="center"/>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$6</w:t>
            </w:r>
            <w:r w:rsidR="00337C31">
              <w:rPr>
                <w:rFonts w:ascii="VIC-Regular" w:eastAsia="Times New Roman" w:hAnsi="VIC-Regular" w:cs="Times New Roman"/>
                <w:color w:val="011A3C"/>
                <w:sz w:val="24"/>
                <w:szCs w:val="24"/>
                <w:lang w:val="en" w:eastAsia="en-AU"/>
              </w:rPr>
              <w:t>,</w:t>
            </w:r>
            <w:r w:rsidRPr="0061578B">
              <w:rPr>
                <w:rFonts w:ascii="VIC-Regular" w:eastAsia="Times New Roman" w:hAnsi="VIC-Regular" w:cs="Times New Roman"/>
                <w:color w:val="011A3C"/>
                <w:sz w:val="24"/>
                <w:szCs w:val="24"/>
                <w:lang w:val="en" w:eastAsia="en-AU"/>
              </w:rPr>
              <w:t>062.02</w:t>
            </w:r>
          </w:p>
        </w:tc>
      </w:tr>
    </w:tbl>
    <w:p w14:paraId="2BDCA225" w14:textId="36799CD1" w:rsidR="005D5E2A" w:rsidRPr="0061578B"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61578B">
        <w:rPr>
          <w:rFonts w:ascii="VIC-Regular" w:eastAsia="Times New Roman" w:hAnsi="VIC-Regular" w:cs="Times New Roman"/>
          <w:color w:val="011A3C"/>
          <w:sz w:val="24"/>
          <w:szCs w:val="24"/>
          <w:lang w:val="en" w:eastAsia="en-AU"/>
        </w:rPr>
        <w:t>Teacher salary charges to schools in 202</w:t>
      </w:r>
      <w:r w:rsidR="000D3CC4">
        <w:rPr>
          <w:rFonts w:ascii="VIC-Regular" w:eastAsia="Times New Roman" w:hAnsi="VIC-Regular" w:cs="Times New Roman"/>
          <w:color w:val="011A3C"/>
          <w:sz w:val="24"/>
          <w:szCs w:val="24"/>
          <w:lang w:val="en" w:eastAsia="en-AU"/>
        </w:rPr>
        <w:t>1</w:t>
      </w:r>
      <w:r w:rsidRPr="0061578B">
        <w:rPr>
          <w:rFonts w:ascii="VIC-Regular" w:eastAsia="Times New Roman" w:hAnsi="VIC-Regular" w:cs="Times New Roman"/>
          <w:color w:val="011A3C"/>
          <w:sz w:val="24"/>
          <w:szCs w:val="24"/>
          <w:lang w:val="en" w:eastAsia="en-AU"/>
        </w:rPr>
        <w:t xml:space="preserve"> will continue to be based on actual payroll debits for individual staff as reflected on eduPay. This includes the </w:t>
      </w:r>
      <w:r w:rsidRPr="0061578B">
        <w:rPr>
          <w:rFonts w:ascii="VIC-Regular" w:eastAsia="Times New Roman" w:hAnsi="VIC-Regular" w:cs="Times New Roman"/>
          <w:color w:val="011A3C"/>
          <w:sz w:val="24"/>
          <w:szCs w:val="24"/>
          <w:lang w:val="en" w:eastAsia="en-AU"/>
        </w:rPr>
        <w:lastRenderedPageBreak/>
        <w:t>actual cost of annual leave loading and all allowances, such as higher duties and special payments. Also included are non-cash benefits for teachers.</w:t>
      </w:r>
    </w:p>
    <w:p w14:paraId="4A4535B0" w14:textId="77777777" w:rsidR="005D5E2A" w:rsidRPr="000D3CC4" w:rsidRDefault="005D5E2A" w:rsidP="000D106B">
      <w:pPr>
        <w:keepNext/>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0D3CC4">
        <w:rPr>
          <w:rFonts w:ascii="VIC-Regular" w:eastAsia="Times New Roman" w:hAnsi="VIC-Regular" w:cs="Times New Roman"/>
          <w:b/>
          <w:bCs/>
          <w:color w:val="011A3C"/>
          <w:sz w:val="24"/>
          <w:szCs w:val="24"/>
          <w:lang w:val="en" w:eastAsia="en-AU"/>
        </w:rPr>
        <w:t>List 5: Salary rates</w:t>
      </w:r>
    </w:p>
    <w:p w14:paraId="5C298F61" w14:textId="7281DDE8" w:rsidR="005D5E2A" w:rsidRPr="000D3CC4"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Primary schools receive a total of </w:t>
      </w:r>
      <w:r w:rsidR="000D3CC4" w:rsidRPr="000D3CC4">
        <w:rPr>
          <w:rFonts w:ascii="VIC-Regular" w:eastAsia="Times New Roman" w:hAnsi="VIC-Regular" w:cs="Times New Roman"/>
          <w:color w:val="011A3C"/>
          <w:sz w:val="24"/>
          <w:szCs w:val="24"/>
          <w:lang w:val="en" w:eastAsia="en-AU"/>
        </w:rPr>
        <w:t>121,553</w:t>
      </w:r>
      <w:r w:rsidRPr="000D3CC4">
        <w:rPr>
          <w:rFonts w:ascii="VIC-Regular" w:eastAsia="Times New Roman" w:hAnsi="VIC-Regular" w:cs="Times New Roman"/>
          <w:color w:val="011A3C"/>
          <w:sz w:val="24"/>
          <w:szCs w:val="24"/>
          <w:lang w:val="en" w:eastAsia="en-AU"/>
        </w:rPr>
        <w:t xml:space="preserve"> made up of:</w:t>
      </w:r>
    </w:p>
    <w:p w14:paraId="416E7267" w14:textId="7B2B0144" w:rsidR="005D5E2A" w:rsidRPr="000D3CC4" w:rsidRDefault="005D5E2A" w:rsidP="005D5E2A">
      <w:pPr>
        <w:numPr>
          <w:ilvl w:val="0"/>
          <w:numId w:val="41"/>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Credit ($): </w:t>
      </w:r>
      <w:r w:rsidR="000D3CC4" w:rsidRPr="000D3CC4">
        <w:rPr>
          <w:rFonts w:ascii="VIC-Regular" w:eastAsia="Times New Roman" w:hAnsi="VIC-Regular" w:cs="Times New Roman"/>
          <w:color w:val="011A3C"/>
          <w:sz w:val="24"/>
          <w:szCs w:val="24"/>
          <w:lang w:val="en" w:eastAsia="en-AU"/>
        </w:rPr>
        <w:t>118,496</w:t>
      </w:r>
    </w:p>
    <w:p w14:paraId="45279E0D" w14:textId="3BDC94CD" w:rsidR="005D5E2A" w:rsidRPr="000D3CC4" w:rsidRDefault="005D5E2A" w:rsidP="005D5E2A">
      <w:pPr>
        <w:numPr>
          <w:ilvl w:val="0"/>
          <w:numId w:val="41"/>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Cash ($): </w:t>
      </w:r>
      <w:r w:rsidR="000D3CC4" w:rsidRPr="000D3CC4">
        <w:rPr>
          <w:rFonts w:ascii="VIC-Regular" w:eastAsia="Times New Roman" w:hAnsi="VIC-Regular" w:cs="Times New Roman"/>
          <w:color w:val="011A3C"/>
          <w:sz w:val="24"/>
          <w:szCs w:val="24"/>
          <w:lang w:val="en" w:eastAsia="en-AU"/>
        </w:rPr>
        <w:t>3,057</w:t>
      </w:r>
    </w:p>
    <w:p w14:paraId="1BE74140" w14:textId="18454322" w:rsidR="005D5E2A" w:rsidRPr="000D3CC4"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Secondary schools receive a total of </w:t>
      </w:r>
      <w:r w:rsidR="000D3CC4" w:rsidRPr="000D3CC4">
        <w:rPr>
          <w:rFonts w:ascii="VIC-Regular" w:eastAsia="Times New Roman" w:hAnsi="VIC-Regular" w:cs="Times New Roman"/>
          <w:color w:val="011A3C"/>
          <w:sz w:val="24"/>
          <w:szCs w:val="24"/>
          <w:lang w:val="en" w:eastAsia="en-AU"/>
        </w:rPr>
        <w:t>121,130</w:t>
      </w:r>
      <w:r w:rsidRPr="000D3CC4">
        <w:rPr>
          <w:rFonts w:ascii="VIC-Regular" w:eastAsia="Times New Roman" w:hAnsi="VIC-Regular" w:cs="Times New Roman"/>
          <w:color w:val="011A3C"/>
          <w:sz w:val="24"/>
          <w:szCs w:val="24"/>
          <w:lang w:val="en" w:eastAsia="en-AU"/>
        </w:rPr>
        <w:t>made up of:</w:t>
      </w:r>
    </w:p>
    <w:p w14:paraId="11BEF6A4" w14:textId="342D2DD8" w:rsidR="005D5E2A" w:rsidRPr="000D3CC4" w:rsidRDefault="005D5E2A" w:rsidP="005D5E2A">
      <w:pPr>
        <w:numPr>
          <w:ilvl w:val="0"/>
          <w:numId w:val="4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Credit ($): </w:t>
      </w:r>
      <w:r w:rsidR="000D3CC4" w:rsidRPr="000D3CC4">
        <w:rPr>
          <w:rFonts w:ascii="VIC-Regular" w:eastAsia="Times New Roman" w:hAnsi="VIC-Regular" w:cs="Times New Roman"/>
          <w:color w:val="011A3C"/>
          <w:sz w:val="24"/>
          <w:szCs w:val="24"/>
          <w:lang w:val="en" w:eastAsia="en-AU"/>
        </w:rPr>
        <w:t>119,535</w:t>
      </w:r>
    </w:p>
    <w:p w14:paraId="6608A281" w14:textId="44447DAD" w:rsidR="005D5E2A" w:rsidRPr="000D3CC4" w:rsidRDefault="005D5E2A" w:rsidP="005D5E2A">
      <w:pPr>
        <w:numPr>
          <w:ilvl w:val="0"/>
          <w:numId w:val="42"/>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 xml:space="preserve">Cash ($): </w:t>
      </w:r>
      <w:r w:rsidR="000D3CC4" w:rsidRPr="000D3CC4">
        <w:rPr>
          <w:rFonts w:ascii="VIC-Regular" w:eastAsia="Times New Roman" w:hAnsi="VIC-Regular" w:cs="Times New Roman"/>
          <w:color w:val="011A3C"/>
          <w:sz w:val="24"/>
          <w:szCs w:val="24"/>
          <w:lang w:val="en" w:eastAsia="en-AU"/>
        </w:rPr>
        <w:t>1,595</w:t>
      </w:r>
    </w:p>
    <w:p w14:paraId="744F2027" w14:textId="77777777" w:rsidR="005D5E2A" w:rsidRPr="000D3CC4" w:rsidRDefault="005D5E2A" w:rsidP="000D3CC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0D3CC4">
        <w:rPr>
          <w:rFonts w:ascii="VIC-Regular" w:eastAsia="Times New Roman" w:hAnsi="VIC-Regular" w:cs="Times New Roman"/>
          <w:b/>
          <w:bCs/>
          <w:color w:val="011A3C"/>
          <w:sz w:val="24"/>
          <w:szCs w:val="24"/>
          <w:lang w:val="en" w:eastAsia="en-AU"/>
        </w:rPr>
        <w:t>Other funding for EAL programs</w:t>
      </w:r>
    </w:p>
    <w:p w14:paraId="1A916A96" w14:textId="77777777" w:rsidR="005D5E2A" w:rsidRPr="000D3CC4"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If applicable, the following lines will also appear in a school’s SRP budget details.</w:t>
      </w:r>
    </w:p>
    <w:p w14:paraId="57B2BE0E" w14:textId="12963742" w:rsidR="005D5E2A" w:rsidRPr="000D3CC4" w:rsidRDefault="005D5E2A" w:rsidP="000D3CC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0D3CC4">
        <w:rPr>
          <w:rFonts w:ascii="VIC-Regular" w:eastAsia="Times New Roman" w:hAnsi="VIC-Regular" w:cs="Times New Roman"/>
          <w:b/>
          <w:bCs/>
          <w:color w:val="011A3C"/>
          <w:sz w:val="24"/>
          <w:szCs w:val="24"/>
          <w:lang w:val="en" w:eastAsia="en-AU"/>
        </w:rPr>
        <w:t>EAL for Refugees — Primary</w:t>
      </w:r>
      <w:r w:rsidR="007E6349">
        <w:rPr>
          <w:rFonts w:ascii="VIC-Regular" w:eastAsia="Times New Roman" w:hAnsi="VIC-Regular" w:cs="Times New Roman"/>
          <w:b/>
          <w:bCs/>
          <w:color w:val="011A3C"/>
          <w:sz w:val="24"/>
          <w:szCs w:val="24"/>
          <w:lang w:val="en" w:eastAsia="en-AU"/>
        </w:rPr>
        <w:t xml:space="preserve"> and </w:t>
      </w:r>
      <w:r w:rsidRPr="000D3CC4">
        <w:rPr>
          <w:rFonts w:ascii="VIC-Regular" w:eastAsia="Times New Roman" w:hAnsi="VIC-Regular" w:cs="Times New Roman"/>
          <w:b/>
          <w:bCs/>
          <w:color w:val="011A3C"/>
          <w:sz w:val="24"/>
          <w:szCs w:val="24"/>
          <w:lang w:val="en" w:eastAsia="en-AU"/>
        </w:rPr>
        <w:t>EAL for Refugees — Secondary</w:t>
      </w:r>
      <w:r w:rsidR="007E6349">
        <w:rPr>
          <w:rFonts w:ascii="VIC-Regular" w:eastAsia="Times New Roman" w:hAnsi="VIC-Regular" w:cs="Times New Roman"/>
          <w:b/>
          <w:bCs/>
          <w:color w:val="011A3C"/>
          <w:sz w:val="24"/>
          <w:szCs w:val="24"/>
          <w:lang w:val="en" w:eastAsia="en-AU"/>
        </w:rPr>
        <w:t xml:space="preserve"> Students</w:t>
      </w:r>
    </w:p>
    <w:p w14:paraId="7F31F673" w14:textId="77777777" w:rsidR="005D5E2A" w:rsidRPr="000D3CC4"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An additional loading is provided to campuses:</w:t>
      </w:r>
    </w:p>
    <w:p w14:paraId="3AC8920A" w14:textId="77777777" w:rsidR="005D5E2A" w:rsidRPr="000D3CC4" w:rsidRDefault="005D5E2A" w:rsidP="005D5E2A">
      <w:pPr>
        <w:numPr>
          <w:ilvl w:val="0"/>
          <w:numId w:val="43"/>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that receive EAL Index funding and</w:t>
      </w:r>
    </w:p>
    <w:p w14:paraId="3B9751A4" w14:textId="77777777" w:rsidR="005D5E2A" w:rsidRPr="000D3CC4" w:rsidRDefault="005D5E2A" w:rsidP="005D5E2A">
      <w:pPr>
        <w:numPr>
          <w:ilvl w:val="0"/>
          <w:numId w:val="43"/>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have an SFO weighting below 1.4 (this equates to an SFO density greater than 0.547) and</w:t>
      </w:r>
    </w:p>
    <w:p w14:paraId="3723C969" w14:textId="77777777" w:rsidR="005D5E2A" w:rsidRPr="000D3CC4" w:rsidRDefault="005D5E2A" w:rsidP="005D5E2A">
      <w:pPr>
        <w:numPr>
          <w:ilvl w:val="0"/>
          <w:numId w:val="43"/>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0D3CC4">
        <w:rPr>
          <w:rFonts w:ascii="VIC-Regular" w:eastAsia="Times New Roman" w:hAnsi="VIC-Regular" w:cs="Times New Roman"/>
          <w:color w:val="011A3C"/>
          <w:sz w:val="24"/>
          <w:szCs w:val="24"/>
          <w:lang w:val="en" w:eastAsia="en-AU"/>
        </w:rPr>
        <w:t>have 10 or more refugee students enrolled.</w:t>
      </w:r>
    </w:p>
    <w:p w14:paraId="72F289E6"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In these cases, the school is provided with funding for the refugee students at an SFO weighting of 1.4.</w:t>
      </w:r>
    </w:p>
    <w:p w14:paraId="5DA124B4" w14:textId="77777777" w:rsidR="005D5E2A" w:rsidRPr="007E6349" w:rsidRDefault="005D5E2A" w:rsidP="005D5E2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7E6349">
        <w:rPr>
          <w:rFonts w:ascii="VIC-Regular" w:eastAsia="Times New Roman" w:hAnsi="VIC-Regular" w:cs="Times New Roman"/>
          <w:b/>
          <w:bCs/>
          <w:color w:val="011A3C"/>
          <w:sz w:val="24"/>
          <w:szCs w:val="24"/>
          <w:lang w:val="en" w:eastAsia="en-AU"/>
        </w:rPr>
        <w:t>EAL student services</w:t>
      </w:r>
    </w:p>
    <w:p w14:paraId="0A09F9D1"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Primary and secondary schools that coordinate EAL cluster programs are provided with funding to employ EAL specialists to provide advice and guidance to teachers in cluster schools to build their understanding, knowledge and capacity to meet EAL student learning needs.</w:t>
      </w:r>
    </w:p>
    <w:p w14:paraId="3BC17408" w14:textId="77777777" w:rsidR="005D5E2A" w:rsidRPr="007E6349" w:rsidRDefault="005D5E2A" w:rsidP="005D5E2A">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7E6349">
        <w:rPr>
          <w:rFonts w:ascii="VIC-Regular" w:eastAsia="Times New Roman" w:hAnsi="VIC-Regular" w:cs="Times New Roman"/>
          <w:b/>
          <w:bCs/>
          <w:color w:val="011A3C"/>
          <w:sz w:val="24"/>
          <w:szCs w:val="24"/>
          <w:lang w:val="en" w:eastAsia="en-AU"/>
        </w:rPr>
        <w:t>Funding for English language schools and centres</w:t>
      </w:r>
    </w:p>
    <w:p w14:paraId="078D3E16"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Funding for English language schools and centres is based on target enrolments established by the Learning, Teaching and Pathways Division in </w:t>
      </w:r>
      <w:r w:rsidRPr="007E6349">
        <w:rPr>
          <w:rFonts w:ascii="VIC-Regular" w:eastAsia="Times New Roman" w:hAnsi="VIC-Regular" w:cs="Times New Roman"/>
          <w:color w:val="011A3C"/>
          <w:sz w:val="24"/>
          <w:szCs w:val="24"/>
          <w:lang w:val="en" w:eastAsia="en-AU"/>
        </w:rPr>
        <w:lastRenderedPageBreak/>
        <w:t>consultation with regions and schools and centres. Classes are funded at a student to teacher ratio of 13:1.</w:t>
      </w:r>
    </w:p>
    <w:p w14:paraId="50938A0A"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English language schools receive a per target enrolment rate and a base to provide both safety net and support. Both allocations are multiples of the rates that apply in standard settings.</w:t>
      </w:r>
    </w:p>
    <w:p w14:paraId="47237660" w14:textId="77777777"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English language centres are campuses of a primary or secondary school and the Virtual EAL New Arrivals Program Base support is provided by the primary or secondary school and the centre receives a per target enrolment rate.</w:t>
      </w:r>
    </w:p>
    <w:p w14:paraId="36812B6D" w14:textId="77777777" w:rsidR="005D5E2A" w:rsidRPr="00C370BC" w:rsidRDefault="005D5E2A" w:rsidP="00C370BC">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Eligibility</w:t>
      </w:r>
    </w:p>
    <w:p w14:paraId="146BB351" w14:textId="77777777" w:rsidR="005D5E2A" w:rsidRPr="007E6349" w:rsidRDefault="005D5E2A" w:rsidP="005D5E2A">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English language schools</w:t>
      </w:r>
    </w:p>
    <w:p w14:paraId="02CADF2E" w14:textId="77777777" w:rsidR="005D5E2A" w:rsidRPr="007E6349" w:rsidRDefault="005D5E2A" w:rsidP="005D5E2A">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English language centres</w:t>
      </w:r>
    </w:p>
    <w:p w14:paraId="3BE09664" w14:textId="77777777" w:rsidR="005D5E2A" w:rsidRPr="007E6349" w:rsidRDefault="005D5E2A" w:rsidP="005D5E2A">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Virtual EAL New Arrivals Program</w:t>
      </w:r>
    </w:p>
    <w:p w14:paraId="31F65A64" w14:textId="27D2978D" w:rsidR="005D5E2A" w:rsidRPr="00C370BC" w:rsidRDefault="005D5E2A" w:rsidP="00C370BC">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202</w:t>
      </w:r>
      <w:r w:rsidR="007E6349" w:rsidRPr="00C370BC">
        <w:rPr>
          <w:rFonts w:ascii="VIC-Regular" w:eastAsia="Times New Roman" w:hAnsi="VIC-Regular" w:cs="Times New Roman"/>
          <w:b/>
          <w:bCs/>
          <w:color w:val="011A3C"/>
          <w:sz w:val="24"/>
          <w:szCs w:val="24"/>
          <w:lang w:val="en" w:eastAsia="en-AU"/>
        </w:rPr>
        <w:t>1</w:t>
      </w:r>
      <w:r w:rsidRPr="00C370BC">
        <w:rPr>
          <w:rFonts w:ascii="VIC-Regular" w:eastAsia="Times New Roman" w:hAnsi="VIC-Regular" w:cs="Times New Roman"/>
          <w:b/>
          <w:bCs/>
          <w:color w:val="011A3C"/>
          <w:sz w:val="24"/>
          <w:szCs w:val="24"/>
          <w:lang w:val="en" w:eastAsia="en-AU"/>
        </w:rPr>
        <w:t xml:space="preserve"> English language school and centre target enrolment rates</w:t>
      </w:r>
    </w:p>
    <w:p w14:paraId="52F67390" w14:textId="550CB504"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school, primary target enrolments receive a total of </w:t>
      </w:r>
      <w:r w:rsidR="00C370BC" w:rsidRPr="00C370BC">
        <w:rPr>
          <w:rFonts w:ascii="VIC-Regular" w:eastAsia="Times New Roman" w:hAnsi="VIC-Regular" w:cs="Times New Roman"/>
          <w:color w:val="011A3C"/>
          <w:sz w:val="24"/>
          <w:szCs w:val="24"/>
          <w:lang w:val="en" w:eastAsia="en-AU"/>
        </w:rPr>
        <w:t>12,741</w:t>
      </w:r>
      <w:r w:rsidRPr="007E6349">
        <w:rPr>
          <w:rFonts w:ascii="VIC-Regular" w:eastAsia="Times New Roman" w:hAnsi="VIC-Regular" w:cs="Times New Roman"/>
          <w:color w:val="011A3C"/>
          <w:sz w:val="24"/>
          <w:szCs w:val="24"/>
          <w:lang w:val="en" w:eastAsia="en-AU"/>
        </w:rPr>
        <w:t>made up of:</w:t>
      </w:r>
    </w:p>
    <w:p w14:paraId="53BC2EDB" w14:textId="63894E84" w:rsidR="005D5E2A" w:rsidRPr="007E6349" w:rsidRDefault="005D5E2A" w:rsidP="007E6349">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11,901</w:t>
      </w:r>
    </w:p>
    <w:p w14:paraId="755E75B3" w14:textId="259605A8" w:rsidR="005D5E2A" w:rsidRPr="007E6349" w:rsidRDefault="005D5E2A" w:rsidP="007E6349">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840</w:t>
      </w:r>
    </w:p>
    <w:p w14:paraId="43D654AE" w14:textId="0763C07F"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school, secondary target enrolments receive a total of </w:t>
      </w:r>
      <w:r w:rsidR="00C370BC" w:rsidRPr="00C370BC">
        <w:rPr>
          <w:rFonts w:ascii="VIC-Regular" w:eastAsia="Times New Roman" w:hAnsi="VIC-Regular" w:cs="Times New Roman"/>
          <w:color w:val="011A3C"/>
          <w:sz w:val="24"/>
          <w:szCs w:val="24"/>
          <w:lang w:val="en" w:eastAsia="en-AU"/>
        </w:rPr>
        <w:t>15,485</w:t>
      </w:r>
      <w:r w:rsidRPr="007E6349">
        <w:rPr>
          <w:rFonts w:ascii="VIC-Regular" w:eastAsia="Times New Roman" w:hAnsi="VIC-Regular" w:cs="Times New Roman"/>
          <w:color w:val="011A3C"/>
          <w:sz w:val="24"/>
          <w:szCs w:val="24"/>
          <w:lang w:val="en" w:eastAsia="en-AU"/>
        </w:rPr>
        <w:t>made up of:</w:t>
      </w:r>
    </w:p>
    <w:p w14:paraId="107B6C68" w14:textId="18DC8009" w:rsidR="005D5E2A" w:rsidRPr="007E6349" w:rsidRDefault="005D5E2A" w:rsidP="007E6349">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14,615</w:t>
      </w:r>
    </w:p>
    <w:p w14:paraId="69FA9969" w14:textId="5E28A013" w:rsidR="005D5E2A" w:rsidRPr="007E6349" w:rsidRDefault="005D5E2A" w:rsidP="007E6349">
      <w:pPr>
        <w:numPr>
          <w:ilvl w:val="0"/>
          <w:numId w:val="3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870</w:t>
      </w:r>
    </w:p>
    <w:p w14:paraId="4DDC43DC" w14:textId="5791EBB1"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centre, primary target enrolments receive a total of </w:t>
      </w:r>
      <w:r w:rsidR="00C370BC" w:rsidRPr="00C370BC">
        <w:rPr>
          <w:rFonts w:ascii="VIC-Regular" w:eastAsia="Times New Roman" w:hAnsi="VIC-Regular" w:cs="Times New Roman"/>
          <w:color w:val="011A3C"/>
          <w:sz w:val="24"/>
          <w:szCs w:val="24"/>
          <w:lang w:val="en" w:eastAsia="en-AU"/>
        </w:rPr>
        <w:t>13,494</w:t>
      </w:r>
      <w:r w:rsidRPr="007E6349">
        <w:rPr>
          <w:rFonts w:ascii="VIC-Regular" w:eastAsia="Times New Roman" w:hAnsi="VIC-Regular" w:cs="Times New Roman"/>
          <w:color w:val="011A3C"/>
          <w:sz w:val="24"/>
          <w:szCs w:val="24"/>
          <w:lang w:val="en" w:eastAsia="en-AU"/>
        </w:rPr>
        <w:t>made up of:</w:t>
      </w:r>
    </w:p>
    <w:p w14:paraId="16242C49" w14:textId="140BC9A2" w:rsidR="005D5E2A" w:rsidRPr="007E6349" w:rsidRDefault="005D5E2A" w:rsidP="005D5E2A">
      <w:pPr>
        <w:numPr>
          <w:ilvl w:val="0"/>
          <w:numId w:val="4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12,747</w:t>
      </w:r>
    </w:p>
    <w:p w14:paraId="04C3AC70" w14:textId="234307A5" w:rsidR="005D5E2A" w:rsidRPr="007E6349" w:rsidRDefault="005D5E2A" w:rsidP="005D5E2A">
      <w:pPr>
        <w:numPr>
          <w:ilvl w:val="0"/>
          <w:numId w:val="4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747</w:t>
      </w:r>
    </w:p>
    <w:p w14:paraId="61BAF5D7" w14:textId="5D891CD5" w:rsidR="005D5E2A" w:rsidRPr="007E634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In an English language centre, secondary target enrolments receive a total of </w:t>
      </w:r>
      <w:r w:rsidR="00C370BC" w:rsidRPr="00C370BC">
        <w:rPr>
          <w:rFonts w:ascii="VIC-Regular" w:eastAsia="Times New Roman" w:hAnsi="VIC-Regular" w:cs="Times New Roman"/>
          <w:color w:val="011A3C"/>
          <w:sz w:val="24"/>
          <w:szCs w:val="24"/>
          <w:lang w:val="en" w:eastAsia="en-AU"/>
        </w:rPr>
        <w:t>16,434</w:t>
      </w:r>
      <w:r w:rsidRPr="007E6349">
        <w:rPr>
          <w:rFonts w:ascii="VIC-Regular" w:eastAsia="Times New Roman" w:hAnsi="VIC-Regular" w:cs="Times New Roman"/>
          <w:color w:val="011A3C"/>
          <w:sz w:val="24"/>
          <w:szCs w:val="24"/>
          <w:lang w:val="en" w:eastAsia="en-AU"/>
        </w:rPr>
        <w:t>made up of:</w:t>
      </w:r>
    </w:p>
    <w:p w14:paraId="5C7618F0" w14:textId="7023F3B0" w:rsidR="005D5E2A" w:rsidRPr="007E6349" w:rsidRDefault="005D5E2A" w:rsidP="007E6349">
      <w:pPr>
        <w:numPr>
          <w:ilvl w:val="0"/>
          <w:numId w:val="4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Credit ($): </w:t>
      </w:r>
      <w:r w:rsidR="00C370BC" w:rsidRPr="00C370BC">
        <w:rPr>
          <w:rFonts w:ascii="VIC-Regular" w:eastAsia="Times New Roman" w:hAnsi="VIC-Regular" w:cs="Times New Roman"/>
          <w:color w:val="011A3C"/>
          <w:sz w:val="24"/>
          <w:szCs w:val="24"/>
          <w:lang w:val="en" w:eastAsia="en-AU"/>
        </w:rPr>
        <w:t>15,587</w:t>
      </w:r>
    </w:p>
    <w:p w14:paraId="39A7953E" w14:textId="2E489EC0" w:rsidR="005D5E2A" w:rsidRPr="007E6349" w:rsidRDefault="005D5E2A" w:rsidP="007E6349">
      <w:pPr>
        <w:numPr>
          <w:ilvl w:val="0"/>
          <w:numId w:val="46"/>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7E6349">
        <w:rPr>
          <w:rFonts w:ascii="VIC-Regular" w:eastAsia="Times New Roman" w:hAnsi="VIC-Regular" w:cs="Times New Roman"/>
          <w:color w:val="011A3C"/>
          <w:sz w:val="24"/>
          <w:szCs w:val="24"/>
          <w:lang w:val="en" w:eastAsia="en-AU"/>
        </w:rPr>
        <w:t xml:space="preserve">Cash ($): </w:t>
      </w:r>
      <w:r w:rsidR="00C370BC" w:rsidRPr="00C370BC">
        <w:rPr>
          <w:rFonts w:ascii="VIC-Regular" w:eastAsia="Times New Roman" w:hAnsi="VIC-Regular" w:cs="Times New Roman"/>
          <w:color w:val="011A3C"/>
          <w:sz w:val="24"/>
          <w:szCs w:val="24"/>
          <w:lang w:val="en" w:eastAsia="en-AU"/>
        </w:rPr>
        <w:t>847</w:t>
      </w:r>
    </w:p>
    <w:p w14:paraId="6D152E22" w14:textId="77777777" w:rsidR="005D5E2A" w:rsidRPr="00C370BC" w:rsidRDefault="005D5E2A" w:rsidP="000D106B">
      <w:pPr>
        <w:keepNext/>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lastRenderedPageBreak/>
        <w:t>Multicultural Education Aides (MEAs)</w:t>
      </w:r>
    </w:p>
    <w:p w14:paraId="6097BA8C"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An allocation for the employment of Multicultural Education Aides (MEAs) is made to English language schools and centres based on target enrolments. The current student to MEA ratio is 65:1. Campuses with target enrolments below 65 are entitled to a 1.0 FTE MEA and for campuses above 65 the 65:1 ratio applies.</w:t>
      </w:r>
    </w:p>
    <w:p w14:paraId="107658C2" w14:textId="621342C0" w:rsidR="00CB1045" w:rsidRDefault="005D5E2A" w:rsidP="00C370BC">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The </w:t>
      </w:r>
      <w:r w:rsidR="00F303E2" w:rsidRPr="00C370BC">
        <w:rPr>
          <w:rFonts w:ascii="VIC-Regular" w:eastAsia="Times New Roman" w:hAnsi="VIC-Regular" w:cs="Times New Roman"/>
          <w:color w:val="011A3C"/>
          <w:sz w:val="24"/>
          <w:szCs w:val="24"/>
          <w:lang w:val="en" w:eastAsia="en-AU"/>
        </w:rPr>
        <w:t>202</w:t>
      </w:r>
      <w:r w:rsidR="00F303E2">
        <w:rPr>
          <w:rFonts w:ascii="VIC-Regular" w:eastAsia="Times New Roman" w:hAnsi="VIC-Regular" w:cs="Times New Roman"/>
          <w:color w:val="011A3C"/>
          <w:sz w:val="24"/>
          <w:szCs w:val="24"/>
          <w:lang w:val="en" w:eastAsia="en-AU"/>
        </w:rPr>
        <w:t>1</w:t>
      </w:r>
      <w:r w:rsidR="00F303E2" w:rsidRPr="00C370BC">
        <w:rPr>
          <w:rFonts w:ascii="VIC-Regular" w:eastAsia="Times New Roman" w:hAnsi="VIC-Regular" w:cs="Times New Roman"/>
          <w:color w:val="011A3C"/>
          <w:sz w:val="24"/>
          <w:szCs w:val="24"/>
          <w:lang w:val="en" w:eastAsia="en-AU"/>
        </w:rPr>
        <w:t xml:space="preserve"> </w:t>
      </w:r>
      <w:r w:rsidRPr="00C370BC">
        <w:rPr>
          <w:rFonts w:ascii="VIC-Regular" w:eastAsia="Times New Roman" w:hAnsi="VIC-Regular" w:cs="Times New Roman"/>
          <w:color w:val="011A3C"/>
          <w:sz w:val="24"/>
          <w:szCs w:val="24"/>
          <w:lang w:val="en" w:eastAsia="en-AU"/>
        </w:rPr>
        <w:t xml:space="preserve">MEA rate is </w:t>
      </w:r>
      <w:r w:rsidR="007E6349" w:rsidRPr="00C370BC">
        <w:rPr>
          <w:rFonts w:ascii="VIC-Regular" w:eastAsia="Times New Roman" w:hAnsi="VIC-Regular" w:cs="Times New Roman"/>
          <w:color w:val="011A3C"/>
          <w:sz w:val="24"/>
          <w:szCs w:val="24"/>
          <w:lang w:val="en" w:eastAsia="en-AU"/>
        </w:rPr>
        <w:t>$61,177.00</w:t>
      </w:r>
    </w:p>
    <w:p w14:paraId="1F061F90" w14:textId="5153A1E3"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EAL student services</w:t>
      </w:r>
    </w:p>
    <w:p w14:paraId="3572AE72" w14:textId="52D65CB7" w:rsidR="005D5E2A" w:rsidRPr="000D106B" w:rsidRDefault="005D5E2A" w:rsidP="000D106B">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In addition, English language schools and centres receive funding to provide services to EAL students who are not yet or no longer enrolled in a full-time intensive program. These services include outreach services, transition support for high needs refugee students and delivery of outpost programs.</w:t>
      </w:r>
    </w:p>
    <w:p w14:paraId="2E8C1682" w14:textId="66D715EF" w:rsidR="00AD16F0" w:rsidRPr="000B2C90" w:rsidRDefault="005D5E2A" w:rsidP="00A1372D">
      <w:pPr>
        <w:pStyle w:val="Heading2"/>
      </w:pPr>
      <w:r>
        <w:br w:type="page"/>
      </w:r>
      <w:bookmarkStart w:id="31" w:name="_Toc52796187"/>
      <w:r w:rsidR="00AD16F0" w:rsidRPr="005D5E2A">
        <w:lastRenderedPageBreak/>
        <w:t>EAL Contingency (Reference 27)</w:t>
      </w:r>
      <w:bookmarkEnd w:id="31"/>
    </w:p>
    <w:p w14:paraId="4BD87BD2" w14:textId="22260F88" w:rsidR="005D5E2A" w:rsidRPr="00C370BC" w:rsidRDefault="005D5E2A" w:rsidP="005D5E2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EAL Contingency funding is provided, budget allowing, to enable the employment of additional EAL teachers and Multicultural Education Aides where schools experience a significant increase to their EAL student profile after their EAL funding has been established for the year.</w:t>
      </w:r>
    </w:p>
    <w:p w14:paraId="4B12F524"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A ‘significant increase’ for a primary, secondary or combined primary/secondary school means that the cohort of additional students, based on the rates and weightings outlined in Reference 26, attract funding above the relevant EAL Index funding threshold (primary or secondary). This means there is no set number of students a school must enrol to be eligible for EAL Contingency. Each student’s year level and length of time in Australia determines the level of funding he or she attracts.</w:t>
      </w:r>
    </w:p>
    <w:p w14:paraId="3153355A"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A ‘significant increase’ for an English language school or centre or the Virtual EAL New Arrivals Program is one which requires provision of an additional class.</w:t>
      </w:r>
    </w:p>
    <w:p w14:paraId="60329E47" w14:textId="77777777" w:rsidR="005D5E2A" w:rsidRPr="00C370BC" w:rsidRDefault="005D5E2A" w:rsidP="005D5E2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Applications for contingency funding can be submitted at any time of the school year. </w:t>
      </w:r>
    </w:p>
    <w:p w14:paraId="10EEE8CE"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Eligibility</w:t>
      </w:r>
    </w:p>
    <w:p w14:paraId="3865E69A" w14:textId="77777777" w:rsidR="005D5E2A" w:rsidRPr="00C370BC" w:rsidRDefault="005D5E2A" w:rsidP="005D5E2A">
      <w:pPr>
        <w:numPr>
          <w:ilvl w:val="0"/>
          <w:numId w:val="4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w:t>
      </w:r>
    </w:p>
    <w:p w14:paraId="384C6B87" w14:textId="77777777" w:rsidR="005D5E2A" w:rsidRPr="00C370BC" w:rsidRDefault="005D5E2A" w:rsidP="005D5E2A">
      <w:pPr>
        <w:numPr>
          <w:ilvl w:val="0"/>
          <w:numId w:val="4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Secondary</w:t>
      </w:r>
    </w:p>
    <w:p w14:paraId="66C5DBC1" w14:textId="77777777" w:rsidR="005D5E2A" w:rsidRPr="00C370BC" w:rsidRDefault="005D5E2A" w:rsidP="005D5E2A">
      <w:pPr>
        <w:numPr>
          <w:ilvl w:val="0"/>
          <w:numId w:val="4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Primary/Secondary Combined</w:t>
      </w:r>
    </w:p>
    <w:p w14:paraId="4F8C606A" w14:textId="77777777" w:rsidR="005D5E2A" w:rsidRPr="00C370BC" w:rsidRDefault="005D5E2A" w:rsidP="005D5E2A">
      <w:pPr>
        <w:numPr>
          <w:ilvl w:val="0"/>
          <w:numId w:val="4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English language schools</w:t>
      </w:r>
    </w:p>
    <w:p w14:paraId="575BB286" w14:textId="77777777" w:rsidR="005D5E2A" w:rsidRPr="00C370BC" w:rsidRDefault="005D5E2A" w:rsidP="005D5E2A">
      <w:pPr>
        <w:numPr>
          <w:ilvl w:val="0"/>
          <w:numId w:val="4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English language centres</w:t>
      </w:r>
    </w:p>
    <w:p w14:paraId="73DCADB8" w14:textId="77777777" w:rsidR="005D5E2A" w:rsidRPr="00C370BC" w:rsidRDefault="005D5E2A" w:rsidP="005D5E2A">
      <w:pPr>
        <w:numPr>
          <w:ilvl w:val="0"/>
          <w:numId w:val="4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Virtual EAL New Arrivals Program</w:t>
      </w:r>
    </w:p>
    <w:p w14:paraId="74017363"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Applications</w:t>
      </w:r>
    </w:p>
    <w:p w14:paraId="76B48D6E"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 and secondary schools that have enrolled an increased number of students since their EAL Index funding was established by the preceding year’s August census may apply for EAL contingency funding. Each application is assessed based on the additional students’ eligibility for EAL Index level funding and the rates and weightings outlined in Reference 26.</w:t>
      </w:r>
    </w:p>
    <w:p w14:paraId="07A2A788"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New primary and secondary schools will not have participated in the preceding August census. They can apply for EAL contingency funding to establish their EAL program following the February school census.</w:t>
      </w:r>
    </w:p>
    <w:p w14:paraId="0601B58C" w14:textId="6BE83CDF"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lastRenderedPageBreak/>
        <w:t>To apply, primary and secondary schools should run a Contingency Report ST21038 from CASES21 and email this with a request to be considered for EAL contingency funding to the EAL Unit at </w:t>
      </w:r>
      <w:hyperlink r:id="rId34" w:history="1">
        <w:r w:rsidRPr="00C370BC">
          <w:rPr>
            <w:rFonts w:ascii="VIC-Regular" w:eastAsia="Times New Roman" w:hAnsi="VIC-Regular" w:cs="Times New Roman"/>
            <w:color w:val="011A3C"/>
            <w:sz w:val="24"/>
            <w:szCs w:val="24"/>
            <w:lang w:val="en" w:eastAsia="en-AU"/>
          </w:rPr>
          <w:t>eal@education.vic.gov.au</w:t>
        </w:r>
      </w:hyperlink>
      <w:r w:rsidRPr="00C370BC">
        <w:rPr>
          <w:rFonts w:ascii="VIC-Regular" w:eastAsia="Times New Roman" w:hAnsi="VIC-Regular" w:cs="Times New Roman"/>
          <w:color w:val="011A3C"/>
          <w:sz w:val="24"/>
          <w:szCs w:val="24"/>
          <w:lang w:val="en" w:eastAsia="en-AU"/>
        </w:rPr>
        <w:t>. The ST21038 report is used to compare current enrolments with enrolments from the preceding August census to determine if an increase beyond the relevant threshold has been reached. Applications from new schools are assessed based on the student numbers in the ST21038 report.</w:t>
      </w:r>
    </w:p>
    <w:p w14:paraId="0A9E64A0"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English language schools and centres should use the Request for EAL Contingency Funding for New Arrivals Provision form to discuss changed provision needs with their Regional Service Support Branch Manager, then email the form to:  </w:t>
      </w:r>
      <w:hyperlink r:id="rId35" w:history="1">
        <w:r w:rsidRPr="00C370BC">
          <w:rPr>
            <w:rFonts w:ascii="VIC-Regular" w:eastAsia="Times New Roman" w:hAnsi="VIC-Regular" w:cs="Times New Roman"/>
            <w:color w:val="011A3C"/>
            <w:sz w:val="24"/>
            <w:szCs w:val="24"/>
            <w:lang w:val="en" w:eastAsia="en-AU"/>
          </w:rPr>
          <w:t>eal@education.vic.gov.au</w:t>
        </w:r>
      </w:hyperlink>
    </w:p>
    <w:p w14:paraId="7986FA68"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Schools that apply within the first five weeks of term and meet eligibility requirements are funded for that term and any other remaining terms in the school year.</w:t>
      </w:r>
    </w:p>
    <w:p w14:paraId="4A414F08"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Schools that apply in week 6 or beyond and meet eligibility requirements are funded for the following and any remaining terms of the school year.</w:t>
      </w:r>
    </w:p>
    <w:p w14:paraId="4681CB6F"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All schools are notified when their request has been assessed, with further notification of their total funding after it has been approved. Payment is made through the SRP at the end of each applicable term.</w:t>
      </w:r>
    </w:p>
    <w:p w14:paraId="7C663FE1"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Calculation</w:t>
      </w:r>
    </w:p>
    <w:p w14:paraId="79ADA3C7" w14:textId="77777777" w:rsidR="005D5E2A" w:rsidRPr="00C370BC" w:rsidRDefault="005D5E2A" w:rsidP="00C370BC">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EAL Contingency = FTE allocation * Average teacher rate</w:t>
      </w:r>
    </w:p>
    <w:p w14:paraId="1571120A" w14:textId="77777777" w:rsidR="005D5E2A" w:rsidRPr="00C370BC" w:rsidRDefault="005D5E2A" w:rsidP="00C370BC">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 xml:space="preserve">For primary and secondary schools, EAL contingency is calculated based on the change in the school’s EAL student profile between the previous August census and the date of application, as outlined above.  Any additional entitlement to EAL Index funding using the levels and weightings outlined in Reference 26, is converted to FTE and paid pro-rata for the remainder of the school year. </w:t>
      </w:r>
    </w:p>
    <w:p w14:paraId="2DCDD024" w14:textId="77777777" w:rsidR="005D5E2A" w:rsidRPr="00C370BC"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 and secondary FTE allocations are calculated separately.</w:t>
      </w:r>
    </w:p>
    <w:p w14:paraId="4BB6CBFF" w14:textId="77777777" w:rsidR="005D5E2A" w:rsidRPr="00C370BC" w:rsidRDefault="005D5E2A" w:rsidP="00C370BC">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For English language schools and centres and the Virtual EAL New Arrivals Program, each additional class to be provided attracts 1.0 FTE at the average teacher rate, paid pro-rata for the period for which the class will be required.</w:t>
      </w:r>
    </w:p>
    <w:p w14:paraId="3EBCC416" w14:textId="6FBBF27B"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Rates — 202</w:t>
      </w:r>
      <w:r w:rsidR="00C370BC" w:rsidRPr="00C370BC">
        <w:rPr>
          <w:rFonts w:ascii="VIC-Regular" w:eastAsia="Times New Roman" w:hAnsi="VIC-Regular" w:cs="Times New Roman"/>
          <w:b/>
          <w:bCs/>
          <w:color w:val="011A3C"/>
          <w:sz w:val="24"/>
          <w:szCs w:val="24"/>
          <w:lang w:val="en" w:eastAsia="en-AU"/>
        </w:rPr>
        <w:t>1</w:t>
      </w:r>
    </w:p>
    <w:p w14:paraId="6ABB60A6" w14:textId="77777777" w:rsidR="005D5E2A" w:rsidRPr="00C370BC" w:rsidRDefault="005D5E2A" w:rsidP="005D5E2A">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lastRenderedPageBreak/>
        <w:t>List 1: EAL Index funding thresholds</w:t>
      </w:r>
    </w:p>
    <w:p w14:paraId="3177A649" w14:textId="29BB9321" w:rsidR="005D5E2A" w:rsidRPr="00C370BC" w:rsidRDefault="005D5E2A" w:rsidP="005D5E2A">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Primary —$25,175.33</w:t>
      </w:r>
    </w:p>
    <w:p w14:paraId="5632FA29" w14:textId="7D45D237" w:rsidR="005D5E2A" w:rsidRPr="00C370BC" w:rsidRDefault="005D5E2A" w:rsidP="005D5E2A">
      <w:pPr>
        <w:numPr>
          <w:ilvl w:val="0"/>
          <w:numId w:val="3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C370BC">
        <w:rPr>
          <w:rFonts w:ascii="VIC-Regular" w:eastAsia="Times New Roman" w:hAnsi="VIC-Regular" w:cs="Times New Roman"/>
          <w:color w:val="011A3C"/>
          <w:sz w:val="24"/>
          <w:szCs w:val="24"/>
          <w:lang w:val="en" w:eastAsia="en-AU"/>
        </w:rPr>
        <w:t>Secondary —$48,015.72</w:t>
      </w:r>
    </w:p>
    <w:p w14:paraId="1CB9E72C" w14:textId="77777777" w:rsidR="005D5E2A" w:rsidRPr="00C370BC" w:rsidRDefault="005D5E2A" w:rsidP="00C370BC">
      <w:pPr>
        <w:spacing w:before="100" w:beforeAutospacing="1" w:after="100" w:afterAutospacing="1" w:line="288" w:lineRule="atLeast"/>
        <w:outlineLvl w:val="3"/>
        <w:rPr>
          <w:rFonts w:ascii="VIC-Regular" w:eastAsia="Times New Roman" w:hAnsi="VIC-Regular" w:cs="Times New Roman"/>
          <w:b/>
          <w:bCs/>
          <w:color w:val="011A3C"/>
          <w:sz w:val="24"/>
          <w:szCs w:val="24"/>
          <w:lang w:val="en" w:eastAsia="en-AU"/>
        </w:rPr>
      </w:pPr>
      <w:r w:rsidRPr="00C370BC">
        <w:rPr>
          <w:rFonts w:ascii="VIC-Regular" w:eastAsia="Times New Roman" w:hAnsi="VIC-Regular" w:cs="Times New Roman"/>
          <w:b/>
          <w:bCs/>
          <w:color w:val="011A3C"/>
          <w:sz w:val="24"/>
          <w:szCs w:val="24"/>
          <w:lang w:val="en" w:eastAsia="en-AU"/>
        </w:rPr>
        <w:t>List 2: Average Teacher Rates</w:t>
      </w:r>
    </w:p>
    <w:p w14:paraId="22E653D6" w14:textId="7A9E8D33" w:rsidR="005D5E2A" w:rsidRPr="00DB753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Primary schools receive a total of </w:t>
      </w:r>
      <w:r w:rsidR="00DB7539" w:rsidRPr="00DB7539">
        <w:rPr>
          <w:rFonts w:ascii="VIC-Regular" w:eastAsia="Times New Roman" w:hAnsi="VIC-Regular" w:cs="Times New Roman"/>
          <w:color w:val="011A3C"/>
          <w:sz w:val="24"/>
          <w:szCs w:val="24"/>
          <w:lang w:val="en" w:eastAsia="en-AU"/>
        </w:rPr>
        <w:t>121,553</w:t>
      </w:r>
      <w:r w:rsidRPr="00DB7539">
        <w:rPr>
          <w:rFonts w:ascii="VIC-Regular" w:eastAsia="Times New Roman" w:hAnsi="VIC-Regular" w:cs="Times New Roman"/>
          <w:color w:val="011A3C"/>
          <w:sz w:val="24"/>
          <w:szCs w:val="24"/>
          <w:lang w:val="en" w:eastAsia="en-AU"/>
        </w:rPr>
        <w:t>made up of:</w:t>
      </w:r>
    </w:p>
    <w:p w14:paraId="792AEBD7" w14:textId="2F9BDC3B" w:rsidR="005D5E2A" w:rsidRPr="00DB7539" w:rsidRDefault="005D5E2A" w:rsidP="005D5E2A">
      <w:pPr>
        <w:numPr>
          <w:ilvl w:val="0"/>
          <w:numId w:val="4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Credit ($): </w:t>
      </w:r>
      <w:r w:rsidR="00DB7539" w:rsidRPr="00DB7539">
        <w:rPr>
          <w:rFonts w:ascii="VIC-Regular" w:eastAsia="Times New Roman" w:hAnsi="VIC-Regular" w:cs="Times New Roman"/>
          <w:color w:val="011A3C"/>
          <w:sz w:val="24"/>
          <w:szCs w:val="24"/>
          <w:lang w:val="en" w:eastAsia="en-AU"/>
        </w:rPr>
        <w:t>118,496</w:t>
      </w:r>
    </w:p>
    <w:p w14:paraId="7EA692A9" w14:textId="095CA345" w:rsidR="005D5E2A" w:rsidRPr="00DB7539" w:rsidRDefault="005D5E2A" w:rsidP="005D5E2A">
      <w:pPr>
        <w:numPr>
          <w:ilvl w:val="0"/>
          <w:numId w:val="4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Cash ($): </w:t>
      </w:r>
      <w:r w:rsidR="00DB7539" w:rsidRPr="00DB7539">
        <w:rPr>
          <w:rFonts w:ascii="VIC-Regular" w:eastAsia="Times New Roman" w:hAnsi="VIC-Regular" w:cs="Times New Roman"/>
          <w:color w:val="011A3C"/>
          <w:sz w:val="24"/>
          <w:szCs w:val="24"/>
          <w:lang w:val="en" w:eastAsia="en-AU"/>
        </w:rPr>
        <w:t>3,057</w:t>
      </w:r>
    </w:p>
    <w:p w14:paraId="57554B77" w14:textId="41F04DC1" w:rsidR="005D5E2A" w:rsidRPr="00DB7539" w:rsidRDefault="005D5E2A" w:rsidP="005D5E2A">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Secondary schools receive a total of </w:t>
      </w:r>
      <w:r w:rsidR="00DB7539" w:rsidRPr="00DB7539">
        <w:rPr>
          <w:rFonts w:ascii="VIC-Regular" w:eastAsia="Times New Roman" w:hAnsi="VIC-Regular" w:cs="Times New Roman"/>
          <w:color w:val="011A3C"/>
          <w:sz w:val="24"/>
          <w:szCs w:val="24"/>
          <w:lang w:val="en" w:eastAsia="en-AU"/>
        </w:rPr>
        <w:t>121,130</w:t>
      </w:r>
      <w:r w:rsidRPr="00DB7539">
        <w:rPr>
          <w:rFonts w:ascii="VIC-Regular" w:eastAsia="Times New Roman" w:hAnsi="VIC-Regular" w:cs="Times New Roman"/>
          <w:color w:val="011A3C"/>
          <w:sz w:val="24"/>
          <w:szCs w:val="24"/>
          <w:lang w:val="en" w:eastAsia="en-AU"/>
        </w:rPr>
        <w:t>made up of:</w:t>
      </w:r>
    </w:p>
    <w:p w14:paraId="2D95572A" w14:textId="402B3983" w:rsidR="0076693A" w:rsidRDefault="005D5E2A" w:rsidP="003F76E5">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DB7539">
        <w:rPr>
          <w:rFonts w:ascii="VIC-Regular" w:eastAsia="Times New Roman" w:hAnsi="VIC-Regular" w:cs="Times New Roman"/>
          <w:color w:val="011A3C"/>
          <w:sz w:val="24"/>
          <w:szCs w:val="24"/>
          <w:lang w:val="en" w:eastAsia="en-AU"/>
        </w:rPr>
        <w:t xml:space="preserve">Credit ($): </w:t>
      </w:r>
      <w:r w:rsidR="00DB7539" w:rsidRPr="00DB7539">
        <w:rPr>
          <w:rFonts w:ascii="VIC-Regular" w:eastAsia="Times New Roman" w:hAnsi="VIC-Regular" w:cs="Times New Roman"/>
          <w:color w:val="011A3C"/>
          <w:sz w:val="24"/>
          <w:szCs w:val="24"/>
          <w:lang w:val="en" w:eastAsia="en-AU"/>
        </w:rPr>
        <w:t>119,535</w:t>
      </w:r>
      <w:r w:rsidRPr="00DB7539">
        <w:rPr>
          <w:rFonts w:ascii="VIC-Regular" w:eastAsia="Times New Roman" w:hAnsi="VIC-Regular" w:cs="Times New Roman"/>
          <w:color w:val="011A3C"/>
          <w:sz w:val="24"/>
          <w:szCs w:val="24"/>
          <w:lang w:val="en" w:eastAsia="en-AU"/>
        </w:rPr>
        <w:t xml:space="preserve">Cash ($): </w:t>
      </w:r>
      <w:r w:rsidR="00DB7539" w:rsidRPr="00DB7539">
        <w:rPr>
          <w:rFonts w:ascii="VIC-Regular" w:eastAsia="Times New Roman" w:hAnsi="VIC-Regular" w:cs="Times New Roman"/>
          <w:color w:val="011A3C"/>
          <w:sz w:val="24"/>
          <w:szCs w:val="24"/>
          <w:lang w:val="en" w:eastAsia="en-AU"/>
        </w:rPr>
        <w:t>1,595</w:t>
      </w:r>
      <w:r w:rsidRPr="00DB7539">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437DFFEA" w14:textId="77777777" w:rsidR="005D5E2A" w:rsidRDefault="005D5E2A">
      <w:pPr>
        <w:rPr>
          <w:rFonts w:asciiTheme="majorHAnsi" w:eastAsia="Times New Roman" w:hAnsiTheme="majorHAnsi" w:cs="Times New Roman"/>
          <w:b/>
          <w:bCs/>
          <w:kern w:val="36"/>
          <w:sz w:val="48"/>
          <w:szCs w:val="48"/>
          <w:lang w:eastAsia="en-AU"/>
        </w:rPr>
      </w:pPr>
      <w:r>
        <w:br w:type="page"/>
      </w:r>
    </w:p>
    <w:p w14:paraId="71655CB5" w14:textId="0936BAE1" w:rsidR="00ED4312" w:rsidRPr="00B449D7" w:rsidRDefault="00ED4312" w:rsidP="00B449D7">
      <w:pPr>
        <w:pStyle w:val="Heading1"/>
      </w:pPr>
      <w:bookmarkStart w:id="32" w:name="_Toc52796188"/>
      <w:r w:rsidRPr="00B449D7">
        <w:lastRenderedPageBreak/>
        <w:t xml:space="preserve">Student Resource Package </w:t>
      </w:r>
      <w:r w:rsidRPr="00B449D7">
        <w:rPr>
          <w:rFonts w:hint="eastAsia"/>
        </w:rPr>
        <w:t>—</w:t>
      </w:r>
      <w:r w:rsidRPr="00B449D7">
        <w:t xml:space="preserve"> School Infrastructure</w:t>
      </w:r>
      <w:bookmarkEnd w:id="32"/>
      <w:r w:rsidRPr="00B449D7">
        <w:t xml:space="preserve"> </w:t>
      </w:r>
    </w:p>
    <w:p w14:paraId="19C0FD4F" w14:textId="77777777" w:rsidR="00ED4312" w:rsidRPr="0082626F" w:rsidRDefault="00ED4312" w:rsidP="003F76E5">
      <w:pPr>
        <w:pStyle w:val="Heading3"/>
        <w:rPr>
          <w:rStyle w:val="Strong"/>
          <w:rFonts w:cstheme="majorHAnsi"/>
          <w:color w:val="011A3C"/>
          <w:sz w:val="32"/>
          <w:szCs w:val="32"/>
        </w:rPr>
      </w:pPr>
      <w:r w:rsidRPr="0082626F">
        <w:rPr>
          <w:rStyle w:val="Strong"/>
          <w:rFonts w:cstheme="majorHAnsi"/>
          <w:color w:val="011A3C"/>
          <w:sz w:val="32"/>
          <w:szCs w:val="32"/>
        </w:rPr>
        <w:t>Policy</w:t>
      </w:r>
    </w:p>
    <w:p w14:paraId="1BC26F35"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school infrastructure.</w:t>
      </w:r>
    </w:p>
    <w:p w14:paraId="0D30FDE1" w14:textId="77777777" w:rsidR="00ED4312" w:rsidRPr="0082626F" w:rsidRDefault="00ED4312" w:rsidP="003F76E5">
      <w:pPr>
        <w:pStyle w:val="Heading3"/>
        <w:rPr>
          <w:rStyle w:val="Strong"/>
          <w:rFonts w:cstheme="majorHAnsi"/>
          <w:color w:val="011A3C"/>
          <w:sz w:val="32"/>
          <w:szCs w:val="32"/>
        </w:rPr>
      </w:pPr>
      <w:r w:rsidRPr="0082626F">
        <w:rPr>
          <w:rStyle w:val="Strong"/>
          <w:rFonts w:cstheme="majorHAnsi"/>
          <w:color w:val="011A3C"/>
          <w:sz w:val="32"/>
          <w:szCs w:val="32"/>
        </w:rPr>
        <w:t>Details</w:t>
      </w:r>
    </w:p>
    <w:p w14:paraId="2B884801"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‘School based funding’ is one of three categories of funding provided for by the Student Resource Package (SRP). Funding for ‘school infrastructure’ is one type of school-based funding provided to schools. The other type of school based funding is funding for School Specific Programs.</w:t>
      </w:r>
    </w:p>
    <w:p w14:paraId="263F08BC" w14:textId="493F70D6"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 xml:space="preserve">The school infrastructure component provides funding for school facilities and programs specific to individual schools. The </w:t>
      </w:r>
      <w:r w:rsidR="00D97AC3" w:rsidRPr="00D97AC3">
        <w:rPr>
          <w:rFonts w:ascii="VIC-Regular" w:hAnsi="VIC-Regular"/>
          <w:color w:val="011A3C"/>
          <w:lang w:val="en"/>
        </w:rPr>
        <w:t>Infrastructure section</w:t>
      </w:r>
      <w:r w:rsidR="00D97AC3">
        <w:t xml:space="preserve"> provides</w:t>
      </w:r>
      <w:r>
        <w:rPr>
          <w:rFonts w:ascii="VIC-Regular" w:hAnsi="VIC-Regular"/>
          <w:color w:val="011A3C"/>
          <w:lang w:val="en"/>
        </w:rPr>
        <w:t xml:space="preserve"> information about the following specific types of infrastructure funding:</w:t>
      </w:r>
    </w:p>
    <w:p w14:paraId="5B3EDAE1"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Contract cleaning</w:t>
      </w:r>
    </w:p>
    <w:p w14:paraId="155FC7A0"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Cross infection prevention allowance</w:t>
      </w:r>
    </w:p>
    <w:p w14:paraId="167A0F75"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Cleaning minimum allowance</w:t>
      </w:r>
    </w:p>
    <w:p w14:paraId="63AFB62C"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Grounds allowance</w:t>
      </w:r>
    </w:p>
    <w:p w14:paraId="66EC9870"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Building area allowance</w:t>
      </w:r>
    </w:p>
    <w:p w14:paraId="1DA0F474"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Split-site/Multi-site allowance</w:t>
      </w:r>
    </w:p>
    <w:p w14:paraId="42CED1F8"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Utilities</w:t>
      </w:r>
    </w:p>
    <w:p w14:paraId="1359EA0B"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Maintenance</w:t>
      </w:r>
    </w:p>
    <w:p w14:paraId="7B745E64"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Annual contracts and essential services</w:t>
      </w:r>
    </w:p>
    <w:p w14:paraId="3A561D96"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Workers’ compensation</w:t>
      </w:r>
    </w:p>
    <w:p w14:paraId="4564E8F4" w14:textId="12F818A6" w:rsidR="00D97AC3" w:rsidRPr="000D106B" w:rsidRDefault="00ED4312" w:rsidP="000D106B">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67A6CF74" w14:textId="77777777" w:rsidR="00D97AC3" w:rsidRDefault="00D97AC3">
      <w:pPr>
        <w:rPr>
          <w:rFonts w:asciiTheme="majorHAnsi" w:eastAsia="Times New Roman" w:hAnsiTheme="majorHAnsi" w:cstheme="majorBidi"/>
          <w:b/>
          <w:color w:val="2F5496" w:themeColor="accent1" w:themeShade="BF"/>
          <w:sz w:val="36"/>
          <w:szCs w:val="26"/>
          <w:lang w:val="en" w:eastAsia="en-AU"/>
        </w:rPr>
      </w:pPr>
      <w:r>
        <w:br w:type="page"/>
      </w:r>
    </w:p>
    <w:p w14:paraId="6255FC2F" w14:textId="25CF6642" w:rsidR="0076693A" w:rsidRPr="00C77ABF" w:rsidRDefault="0076693A" w:rsidP="00842992">
      <w:pPr>
        <w:pStyle w:val="Heading2"/>
      </w:pPr>
      <w:bookmarkStart w:id="33" w:name="_Toc52796189"/>
      <w:r w:rsidRPr="00C77ABF">
        <w:lastRenderedPageBreak/>
        <w:t>Contract cleaning (Reference 28)</w:t>
      </w:r>
      <w:bookmarkEnd w:id="33"/>
    </w:p>
    <w:p w14:paraId="17B881DA"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Victorian Government School Cleaning Reform</w:t>
      </w:r>
    </w:p>
    <w:p w14:paraId="1C5A357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With the introduction of the Victorian Government School Cleaning Reform, funding for cleaning will no longer be provided to metropolitan schools as part of their Student Resource Package from the date that the new cleaning model commences in each individual school.</w:t>
      </w:r>
    </w:p>
    <w:p w14:paraId="4BC171E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Instead, funding will be held centrally by the Department from the date that the new cleaning model commences in each individual school.</w:t>
      </w:r>
    </w:p>
    <w:p w14:paraId="573B0DF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For schools that are part of the Cleaning Reform, a funding allocation will no longer appear in schools SRP.</w:t>
      </w:r>
    </w:p>
    <w:p w14:paraId="0F94C522"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A notional figure will now appear as a reported item on your SRP Budget Management report as a ‘Centrally Administered Item’</w:t>
      </w:r>
    </w:p>
    <w:p w14:paraId="595B667E"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budget in the SRP will remain unaffected by the cleaning reform for regional schools.</w:t>
      </w:r>
    </w:p>
    <w:p w14:paraId="2277D202"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Read more about the changes to schools cleaning at </w:t>
      </w:r>
      <w:hyperlink r:id="rId36" w:history="1">
        <w:r w:rsidRPr="00C77ABF">
          <w:rPr>
            <w:rFonts w:ascii="VIC-Regular" w:eastAsia="Times New Roman" w:hAnsi="VIC-Regular" w:cs="Times New Roman"/>
            <w:color w:val="011A3C"/>
            <w:sz w:val="24"/>
            <w:szCs w:val="24"/>
            <w:lang w:val="en" w:eastAsia="en-AU"/>
          </w:rPr>
          <w:t>Cleaning</w:t>
        </w:r>
      </w:hyperlink>
      <w:r w:rsidRPr="00C77ABF">
        <w:rPr>
          <w:rFonts w:ascii="VIC-Regular" w:eastAsia="Times New Roman" w:hAnsi="VIC-Regular" w:cs="Times New Roman"/>
          <w:color w:val="011A3C"/>
          <w:sz w:val="24"/>
          <w:szCs w:val="24"/>
          <w:lang w:val="en" w:eastAsia="en-AU"/>
        </w:rPr>
        <w:t>.</w:t>
      </w:r>
    </w:p>
    <w:p w14:paraId="69C04F38"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Funding for contract cleaning</w:t>
      </w:r>
    </w:p>
    <w:p w14:paraId="11AC15E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All schools’ funding for contract cleaning is included in the Student Resource Package based on normal and low-use areas as determined by cleanable spaces identified in the </w:t>
      </w:r>
      <w:hyperlink r:id="rId37" w:history="1">
        <w:r w:rsidRPr="00C77ABF">
          <w:rPr>
            <w:rFonts w:ascii="VIC-Regular" w:eastAsia="Times New Roman" w:hAnsi="VIC-Regular" w:cs="Times New Roman"/>
            <w:color w:val="011A3C"/>
            <w:sz w:val="24"/>
            <w:szCs w:val="24"/>
            <w:lang w:val="en" w:eastAsia="en-AU"/>
          </w:rPr>
          <w:t>school's facilities schedule</w:t>
        </w:r>
      </w:hyperlink>
      <w:r w:rsidRPr="00C77ABF">
        <w:rPr>
          <w:rFonts w:ascii="VIC-Regular" w:eastAsia="Times New Roman" w:hAnsi="VIC-Regular" w:cs="Times New Roman"/>
          <w:color w:val="011A3C"/>
          <w:sz w:val="24"/>
          <w:szCs w:val="24"/>
          <w:lang w:val="en" w:eastAsia="en-AU"/>
        </w:rPr>
        <w:t>. Funds are only allocated as cash and paid via the quarterly cash grant where schools are not included in the new metropolitan area-based cleaning model.</w:t>
      </w:r>
    </w:p>
    <w:p w14:paraId="11D0EA61"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allocation does not include provision for the cost of school consumables such as toilet paper, paper towels, soap, disinfectant blocks or bin liners. Funding for these items is in the cash component of the Student Resource Package.</w:t>
      </w:r>
    </w:p>
    <w:p w14:paraId="16BC4C3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Confirmed SRP is based on February Census. As with other elements of the SRP, the contract cleaning allocation is subject to change based on Confirmed enrolments as per the February census.</w:t>
      </w:r>
    </w:p>
    <w:p w14:paraId="50C42CD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lastRenderedPageBreak/>
        <w:t>Contract cleaning allocations are adjusted for any building configuration changes that occur on the Atrium data base. Where the cleanable area is reduced, the area change is applied from the following term. Where the cleanable area is increased, the cleaning area change is applied from the beginning of the term in which the change was made.</w:t>
      </w:r>
    </w:p>
    <w:p w14:paraId="10FA59E1"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information for this program</w:t>
      </w:r>
    </w:p>
    <w:p w14:paraId="6F56D1AB"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Total cleaning area</w:t>
      </w:r>
    </w:p>
    <w:p w14:paraId="70B6918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This is the total of the cleanable areas of the school as per the Atrium system. The Total Cleaning Area used to calculate your budget is contained in your Student Resource Package Budget advice notice and in the Quarterly Cash Grant advice. Any subsequent changes will be reflected in your School Cleaning Area Report.</w:t>
      </w:r>
    </w:p>
    <w:p w14:paraId="26F973A9"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Cleaning area entitlement</w:t>
      </w:r>
    </w:p>
    <w:p w14:paraId="4AD6D3DD"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area entitlement (normal use) for both secondary and primary schools is allocated in square metres according to enrolment bands of 25 students.</w:t>
      </w:r>
    </w:p>
    <w:p w14:paraId="2E8AAB5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cleanable area in excess of entitlement is deemed as low use area.</w:t>
      </w:r>
    </w:p>
    <w:p w14:paraId="18DBEB38" w14:textId="17F4AB93"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For enrolment or area entitlements, see: </w:t>
      </w:r>
      <w:hyperlink r:id="rId38" w:history="1">
        <w:r w:rsidRPr="00C77ABF">
          <w:rPr>
            <w:rFonts w:ascii="VIC-Regular" w:eastAsia="Times New Roman" w:hAnsi="VIC-Regular" w:cs="Times New Roman"/>
            <w:color w:val="011A3C"/>
            <w:sz w:val="24"/>
            <w:szCs w:val="24"/>
            <w:lang w:val="en" w:eastAsia="en-AU"/>
          </w:rPr>
          <w:t>Contract Cleaning Schedule spreadsheet</w:t>
        </w:r>
      </w:hyperlink>
    </w:p>
    <w:p w14:paraId="47DB892D"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For a small number of primary schools disadvantaged by the 1:25 Schedule introduced in 2001 additional m2 area is added to the school’s entitlement on Atrium to restore the school to the better of the former entitlement schedules. The adjustment is removed when the school moves into line with the new 1:25 Schedule due to enrolment changes or if the school undergoes a facilities provision or upgrade program.</w:t>
      </w:r>
    </w:p>
    <w:p w14:paraId="4C2A6847"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Building area changes</w:t>
      </w:r>
    </w:p>
    <w:p w14:paraId="11EF38F9" w14:textId="4C072113"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budget impact of area changes notified depends on whether the areas are part of the school’s area entitlement and whether they involve designated cleanable areas. Where areas change, schools should refer to the School Cleaning Area Report or contact the Information and Analysis Unit on </w:t>
      </w:r>
      <w:hyperlink r:id="rId39" w:history="1">
        <w:r w:rsidRPr="00C77ABF">
          <w:rPr>
            <w:rFonts w:ascii="VIC-Regular" w:eastAsia="Times New Roman" w:hAnsi="VIC-Regular" w:cs="Times New Roman"/>
            <w:color w:val="011A3C"/>
            <w:sz w:val="24"/>
            <w:szCs w:val="24"/>
            <w:lang w:val="en" w:eastAsia="en-AU"/>
          </w:rPr>
          <w:t>1800 896 950</w:t>
        </w:r>
      </w:hyperlink>
      <w:r w:rsidRPr="00C77ABF">
        <w:rPr>
          <w:rFonts w:ascii="VIC-Regular" w:eastAsia="Times New Roman" w:hAnsi="VIC-Regular" w:cs="Times New Roman"/>
          <w:color w:val="011A3C"/>
          <w:sz w:val="24"/>
          <w:szCs w:val="24"/>
          <w:lang w:val="en" w:eastAsia="en-AU"/>
        </w:rPr>
        <w:t xml:space="preserve"> to determine the effect on their cleanable area.</w:t>
      </w:r>
    </w:p>
    <w:p w14:paraId="488CB8BC" w14:textId="7798B2A4" w:rsidR="00EA42F1" w:rsidRPr="00C77ABF" w:rsidRDefault="00EA42F1"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lastRenderedPageBreak/>
        <w:t xml:space="preserve">Funding is calculated at the Indicative, 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 cash funding</w:t>
      </w:r>
      <w:r>
        <w:rPr>
          <w:rFonts w:ascii="VIC-Regular" w:eastAsia="Times New Roman" w:hAnsi="VIC-Regular" w:cs="Times New Roman"/>
          <w:color w:val="011A3C"/>
          <w:sz w:val="24"/>
          <w:szCs w:val="24"/>
          <w:lang w:val="en" w:eastAsia="en-AU"/>
        </w:rPr>
        <w:t>.</w:t>
      </w:r>
    </w:p>
    <w:p w14:paraId="627CEB8C"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Calculation</w:t>
      </w:r>
    </w:p>
    <w:p w14:paraId="6D65357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[Normal_Use_Area] x [Normal_Use_Rate] plus [Low_Use_Area] x [Low_Use_Rate]</w:t>
      </w:r>
    </w:p>
    <w:p w14:paraId="5EC22898" w14:textId="77777777" w:rsidR="0076693A" w:rsidRPr="00C77ABF" w:rsidRDefault="0076693A" w:rsidP="003F76E5">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Refer to Rates Section for stipulated minimum dollar allocation.</w:t>
      </w:r>
    </w:p>
    <w:p w14:paraId="599C38F1" w14:textId="77777777" w:rsidR="0076693A" w:rsidRPr="00C77ABF" w:rsidRDefault="0076693A" w:rsidP="003F76E5">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Entitlement cannot exceed Total Cleanable Area.</w:t>
      </w:r>
    </w:p>
    <w:p w14:paraId="59415AB4" w14:textId="49815096"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w:t>
      </w:r>
      <w:r w:rsidR="00FA1F1F">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8"/>
        <w:gridCol w:w="2463"/>
        <w:gridCol w:w="1905"/>
      </w:tblGrid>
      <w:tr w:rsidR="0076693A" w:rsidRPr="00C77ABF" w14:paraId="2CF6640F" w14:textId="77777777" w:rsidTr="003F76E5">
        <w:trPr>
          <w:tblHeader/>
        </w:trPr>
        <w:tc>
          <w:tcPr>
            <w:tcW w:w="0" w:type="auto"/>
            <w:hideMark/>
          </w:tcPr>
          <w:p w14:paraId="3B418D79" w14:textId="77777777" w:rsidR="0076693A" w:rsidRPr="00371B75" w:rsidRDefault="0076693A"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School Type</w:t>
            </w:r>
          </w:p>
        </w:tc>
        <w:tc>
          <w:tcPr>
            <w:tcW w:w="0" w:type="auto"/>
            <w:hideMark/>
          </w:tcPr>
          <w:p w14:paraId="5CDD2BE1" w14:textId="77777777" w:rsidR="0076693A" w:rsidRPr="00371B75" w:rsidRDefault="0076693A"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Normal Use ($)</w:t>
            </w:r>
          </w:p>
        </w:tc>
        <w:tc>
          <w:tcPr>
            <w:tcW w:w="0" w:type="auto"/>
            <w:hideMark/>
          </w:tcPr>
          <w:p w14:paraId="2BE9372C" w14:textId="77777777" w:rsidR="0076693A" w:rsidRPr="00371B75" w:rsidRDefault="0076693A"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Low Use ($)</w:t>
            </w:r>
          </w:p>
        </w:tc>
      </w:tr>
      <w:tr w:rsidR="0076693A" w:rsidRPr="00C77ABF" w14:paraId="3FA99DDD" w14:textId="77777777" w:rsidTr="003F76E5">
        <w:tc>
          <w:tcPr>
            <w:tcW w:w="0" w:type="auto"/>
            <w:hideMark/>
          </w:tcPr>
          <w:p w14:paraId="03695B76"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Special Development School</w:t>
            </w:r>
          </w:p>
        </w:tc>
        <w:tc>
          <w:tcPr>
            <w:tcW w:w="0" w:type="auto"/>
            <w:hideMark/>
          </w:tcPr>
          <w:p w14:paraId="7BE66055" w14:textId="00FD77BE" w:rsidR="0076693A" w:rsidRPr="00371B75" w:rsidRDefault="00FA1F1F"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29.26</w:t>
            </w:r>
          </w:p>
        </w:tc>
        <w:tc>
          <w:tcPr>
            <w:tcW w:w="0" w:type="auto"/>
            <w:hideMark/>
          </w:tcPr>
          <w:p w14:paraId="500A8BFF"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r w:rsidR="0076693A" w:rsidRPr="00C77ABF" w14:paraId="675E0E25" w14:textId="77777777" w:rsidTr="003F76E5">
        <w:tc>
          <w:tcPr>
            <w:tcW w:w="0" w:type="auto"/>
            <w:hideMark/>
          </w:tcPr>
          <w:p w14:paraId="6919F429"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All Others</w:t>
            </w:r>
          </w:p>
        </w:tc>
        <w:tc>
          <w:tcPr>
            <w:tcW w:w="0" w:type="auto"/>
            <w:hideMark/>
          </w:tcPr>
          <w:p w14:paraId="23B8B0AC" w14:textId="16E7610F" w:rsidR="0076693A" w:rsidRPr="00371B75" w:rsidRDefault="00FA1F1F"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27.26</w:t>
            </w:r>
          </w:p>
        </w:tc>
        <w:tc>
          <w:tcPr>
            <w:tcW w:w="0" w:type="auto"/>
            <w:hideMark/>
          </w:tcPr>
          <w:p w14:paraId="7F5E7FE9" w14:textId="4583364C" w:rsidR="0076693A" w:rsidRPr="00371B75" w:rsidRDefault="00FA1F1F"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5.85</w:t>
            </w:r>
          </w:p>
        </w:tc>
      </w:tr>
      <w:tr w:rsidR="0076693A" w:rsidRPr="00C77ABF" w14:paraId="791F9989" w14:textId="77777777" w:rsidTr="003F76E5">
        <w:tc>
          <w:tcPr>
            <w:tcW w:w="0" w:type="auto"/>
            <w:hideMark/>
          </w:tcPr>
          <w:p w14:paraId="1E518F10"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Small schools under 372m</w:t>
            </w:r>
            <w:r w:rsidRPr="00371B75">
              <w:rPr>
                <w:rFonts w:ascii="VIC-Regular" w:eastAsia="Times New Roman" w:hAnsi="VIC-Regular" w:cs="Times New Roman"/>
                <w:color w:val="323E4F" w:themeColor="text2" w:themeShade="BF"/>
                <w:sz w:val="18"/>
                <w:szCs w:val="18"/>
                <w:vertAlign w:val="superscript"/>
                <w:lang w:eastAsia="en-AU"/>
              </w:rPr>
              <w:t>2</w:t>
            </w:r>
          </w:p>
        </w:tc>
        <w:tc>
          <w:tcPr>
            <w:tcW w:w="0" w:type="auto"/>
            <w:hideMark/>
          </w:tcPr>
          <w:p w14:paraId="39EA28B0" w14:textId="55C6C947" w:rsidR="0076693A" w:rsidRPr="00371B75" w:rsidRDefault="00FA1F1F"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22.02</w:t>
            </w:r>
          </w:p>
        </w:tc>
        <w:tc>
          <w:tcPr>
            <w:tcW w:w="0" w:type="auto"/>
            <w:hideMark/>
          </w:tcPr>
          <w:p w14:paraId="6727B38A"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r w:rsidR="0076693A" w:rsidRPr="00C77ABF" w14:paraId="7E1B3FE7" w14:textId="77777777" w:rsidTr="003F76E5">
        <w:tc>
          <w:tcPr>
            <w:tcW w:w="0" w:type="auto"/>
            <w:hideMark/>
          </w:tcPr>
          <w:p w14:paraId="4C5205E5"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Minimum Allocation</w:t>
            </w:r>
          </w:p>
        </w:tc>
        <w:tc>
          <w:tcPr>
            <w:tcW w:w="0" w:type="auto"/>
            <w:hideMark/>
          </w:tcPr>
          <w:p w14:paraId="01B8F60A" w14:textId="46248BD9" w:rsidR="0076693A" w:rsidRPr="00371B75" w:rsidRDefault="00FA1F1F"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5,752</w:t>
            </w:r>
          </w:p>
        </w:tc>
        <w:tc>
          <w:tcPr>
            <w:tcW w:w="0" w:type="auto"/>
            <w:hideMark/>
          </w:tcPr>
          <w:p w14:paraId="2FC39AED" w14:textId="77777777" w:rsidR="0076693A" w:rsidRPr="00371B75" w:rsidRDefault="0076693A"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N/A</w:t>
            </w:r>
          </w:p>
        </w:tc>
      </w:tr>
    </w:tbl>
    <w:p w14:paraId="766F6E89"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Notes</w:t>
      </w:r>
    </w:p>
    <w:p w14:paraId="2BF07415"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Split-site and multi-campus locations are calculated as separate entities.</w:t>
      </w:r>
    </w:p>
    <w:p w14:paraId="42A21C46"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For Special Development and Physical Disability schools. See: </w:t>
      </w:r>
      <w:hyperlink r:id="rId40" w:history="1">
        <w:r w:rsidRPr="00C77ABF">
          <w:rPr>
            <w:rFonts w:ascii="VIC-Regular" w:eastAsia="Times New Roman" w:hAnsi="VIC-Regular" w:cs="Times New Roman"/>
            <w:color w:val="011A3C"/>
            <w:sz w:val="24"/>
            <w:szCs w:val="24"/>
            <w:lang w:val="en" w:eastAsia="en-AU"/>
          </w:rPr>
          <w:t>Reference 29 Cross Infection Prevention Allowance</w:t>
        </w:r>
      </w:hyperlink>
    </w:p>
    <w:p w14:paraId="602390AE" w14:textId="77777777" w:rsidR="0076693A" w:rsidRDefault="0076693A" w:rsidP="0076693A"/>
    <w:p w14:paraId="4F724897" w14:textId="77777777" w:rsidR="0076693A" w:rsidRDefault="0076693A" w:rsidP="0076693A">
      <w:r>
        <w:br w:type="page"/>
      </w:r>
    </w:p>
    <w:p w14:paraId="68651DE2" w14:textId="554A2F27" w:rsidR="0076693A" w:rsidRDefault="0076693A" w:rsidP="000D106B">
      <w:pPr>
        <w:pStyle w:val="Heading2"/>
      </w:pPr>
      <w:bookmarkStart w:id="34" w:name="_Toc52796190"/>
      <w:r w:rsidRPr="00ED5533">
        <w:lastRenderedPageBreak/>
        <w:t>Cross Infection Prevention Allowance (Reference 29)</w:t>
      </w:r>
      <w:bookmarkEnd w:id="34"/>
    </w:p>
    <w:p w14:paraId="737AFC94" w14:textId="04F7E3EB" w:rsidR="00EA42F1" w:rsidRDefault="00EA42F1" w:rsidP="00EA42F1">
      <w:pPr>
        <w:pStyle w:val="NormalWeb"/>
        <w:spacing w:line="360" w:lineRule="atLeast"/>
        <w:rPr>
          <w:rFonts w:ascii="VIC-Regular" w:hAnsi="VIC-Regular"/>
          <w:color w:val="011A3C"/>
          <w:lang w:val="en"/>
        </w:rPr>
      </w:pPr>
      <w:r>
        <w:rPr>
          <w:rFonts w:ascii="VIC-Regular" w:hAnsi="VIC-Regular"/>
          <w:color w:val="011A3C"/>
          <w:lang w:val="en"/>
        </w:rPr>
        <w:t>Additional cleaning funds are provided to special developmental schools and physical disability special schools to reduce the risk of cross infection.</w:t>
      </w:r>
    </w:p>
    <w:p w14:paraId="5B11933F" w14:textId="77777777" w:rsidR="00EA42F1" w:rsidRPr="0082626F" w:rsidRDefault="00EA42F1" w:rsidP="00EA42F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4C4AB300" w14:textId="77777777" w:rsidR="00EA42F1" w:rsidRPr="00EA42F1" w:rsidRDefault="00EA42F1" w:rsidP="00EA42F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Special schools with the following campus types are eligible for Cross Infection Prevention Allowance at campus level:</w:t>
      </w:r>
    </w:p>
    <w:p w14:paraId="68C1DC0B" w14:textId="77777777" w:rsidR="00EA42F1" w:rsidRPr="00EA42F1" w:rsidRDefault="00EA42F1" w:rsidP="00EA42F1">
      <w:pPr>
        <w:numPr>
          <w:ilvl w:val="0"/>
          <w:numId w:val="68"/>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Special development</w:t>
      </w:r>
    </w:p>
    <w:p w14:paraId="7023720D" w14:textId="77777777" w:rsidR="00EA42F1" w:rsidRPr="00EA42F1" w:rsidRDefault="00EA42F1" w:rsidP="00EA42F1">
      <w:pPr>
        <w:numPr>
          <w:ilvl w:val="0"/>
          <w:numId w:val="68"/>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Disability</w:t>
      </w:r>
    </w:p>
    <w:p w14:paraId="339AD141" w14:textId="56583D46" w:rsidR="004C0591" w:rsidRDefault="00EA42F1" w:rsidP="00EA42F1">
      <w:pPr>
        <w:pStyle w:val="Heading3"/>
        <w:rPr>
          <w:rFonts w:ascii="VIC-Regular" w:eastAsia="Times New Roman" w:hAnsi="VIC-Regular" w:cs="Times New Roman"/>
          <w:color w:val="011A3C"/>
          <w:lang w:val="en" w:eastAsia="en-AU"/>
        </w:rPr>
      </w:pPr>
      <w:r w:rsidRPr="00EA42F1">
        <w:rPr>
          <w:rFonts w:ascii="VIC-Regular" w:eastAsia="Times New Roman" w:hAnsi="VIC-Regular" w:cs="Times New Roman"/>
          <w:color w:val="011A3C"/>
          <w:lang w:val="en" w:eastAsia="en-AU"/>
        </w:rPr>
        <w:t>Funding is calculated at the Indicative, Confirmed and Revised cycles, funding is provided through cash funding.</w:t>
      </w:r>
      <w:r w:rsidR="004C0591">
        <w:rPr>
          <w:rFonts w:ascii="VIC-Regular" w:eastAsia="Times New Roman" w:hAnsi="VIC-Regular" w:cs="Times New Roman"/>
          <w:color w:val="011A3C"/>
          <w:lang w:val="en" w:eastAsia="en-AU"/>
        </w:rPr>
        <w:t xml:space="preserve"> A flat rate is provided irrespective of enrolments.</w:t>
      </w:r>
    </w:p>
    <w:p w14:paraId="5038B672" w14:textId="0315E29F" w:rsidR="00EA42F1" w:rsidRPr="00A1372D" w:rsidRDefault="00EA42F1" w:rsidP="00B846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B846F8">
        <w:rPr>
          <w:rFonts w:ascii="VIC-Bold" w:eastAsia="Times New Roman" w:hAnsi="VIC-Bold" w:cs="Times New Roman"/>
          <w:b/>
          <w:bCs/>
          <w:color w:val="011A3C"/>
          <w:sz w:val="27"/>
          <w:szCs w:val="27"/>
          <w:lang w:val="en" w:eastAsia="en-AU"/>
        </w:rPr>
        <w:t>Rates 202</w:t>
      </w:r>
      <w:r w:rsidR="004C0591" w:rsidRPr="00B846F8">
        <w:rPr>
          <w:rFonts w:ascii="VIC-Bold" w:eastAsia="Times New Roman" w:hAnsi="VIC-Bold" w:cs="Times New Roman"/>
          <w:b/>
          <w:bCs/>
          <w:color w:val="011A3C"/>
          <w:sz w:val="27"/>
          <w:szCs w:val="27"/>
          <w:lang w:val="en" w:eastAsia="en-AU"/>
        </w:rPr>
        <w:t>1</w:t>
      </w:r>
    </w:p>
    <w:p w14:paraId="0A386788" w14:textId="2066E87E" w:rsidR="0076693A" w:rsidRDefault="00337C31" w:rsidP="003B4C36">
      <w:pPr>
        <w:numPr>
          <w:ilvl w:val="0"/>
          <w:numId w:val="185"/>
        </w:numPr>
        <w:spacing w:before="100" w:beforeAutospacing="1" w:after="100" w:afterAutospacing="1" w:line="360" w:lineRule="atLeast"/>
      </w:pPr>
      <w:r w:rsidRPr="00A1372D">
        <w:rPr>
          <w:rFonts w:ascii="VIC-Regular" w:hAnsi="VIC-Regular"/>
          <w:color w:val="011A3C"/>
          <w:sz w:val="24"/>
          <w:szCs w:val="24"/>
          <w:lang w:val="en"/>
        </w:rPr>
        <w:t>$</w:t>
      </w:r>
      <w:r w:rsidR="00990116" w:rsidRPr="00A1372D">
        <w:rPr>
          <w:rFonts w:ascii="VIC-Regular" w:hAnsi="VIC-Regular"/>
          <w:color w:val="011A3C"/>
          <w:sz w:val="24"/>
          <w:szCs w:val="24"/>
          <w:lang w:val="en"/>
        </w:rPr>
        <w:t>13,359</w:t>
      </w:r>
      <w:r w:rsidR="0076693A">
        <w:br w:type="page"/>
      </w:r>
    </w:p>
    <w:p w14:paraId="30E88C9F" w14:textId="77777777" w:rsidR="0076693A" w:rsidRPr="00C77ABF" w:rsidRDefault="0076693A" w:rsidP="00842992">
      <w:pPr>
        <w:pStyle w:val="Heading2"/>
      </w:pPr>
      <w:bookmarkStart w:id="35" w:name="_Toc52796191"/>
      <w:r w:rsidRPr="00C77ABF">
        <w:lastRenderedPageBreak/>
        <w:t>Cleaning Minimum Allowance (Reference 30)</w:t>
      </w:r>
      <w:bookmarkEnd w:id="35"/>
    </w:p>
    <w:p w14:paraId="64677CC9" w14:textId="59B8DE23"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A minimum rate is applied to all schools and centres, where schools are not included in the new metropolitan area-based cleaning model.  </w:t>
      </w:r>
    </w:p>
    <w:p w14:paraId="242EC633" w14:textId="1BD54EED" w:rsidR="00947063" w:rsidRDefault="00947063"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xml:space="preserve">, funding is provided </w:t>
      </w:r>
      <w:r w:rsidRPr="005727F1">
        <w:rPr>
          <w:rFonts w:ascii="VIC-Regular" w:eastAsia="Times New Roman" w:hAnsi="VIC-Regular" w:cs="Times New Roman"/>
          <w:color w:val="011A3C"/>
          <w:sz w:val="24"/>
          <w:szCs w:val="24"/>
          <w:lang w:val="en" w:eastAsia="en-AU"/>
        </w:rPr>
        <w:t>through cash funding</w:t>
      </w:r>
      <w:r>
        <w:rPr>
          <w:rFonts w:ascii="VIC-Regular" w:eastAsia="Times New Roman" w:hAnsi="VIC-Regular" w:cs="Times New Roman"/>
          <w:color w:val="011A3C"/>
          <w:sz w:val="24"/>
          <w:szCs w:val="24"/>
          <w:lang w:val="en" w:eastAsia="en-AU"/>
        </w:rPr>
        <w:t>.</w:t>
      </w:r>
    </w:p>
    <w:p w14:paraId="712B20BB" w14:textId="071AB980"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w:t>
      </w:r>
      <w:r w:rsidR="00550811">
        <w:rPr>
          <w:rFonts w:ascii="VIC-Bold" w:eastAsia="Times New Roman" w:hAnsi="VIC-Bold" w:cs="Times New Roman"/>
          <w:b/>
          <w:bCs/>
          <w:color w:val="011A3C"/>
          <w:sz w:val="27"/>
          <w:szCs w:val="27"/>
          <w:lang w:val="en" w:eastAsia="en-AU"/>
        </w:rPr>
        <w:t>1</w:t>
      </w:r>
    </w:p>
    <w:p w14:paraId="1DA7A916" w14:textId="5E0D5612" w:rsidR="0076693A" w:rsidRDefault="0076693A" w:rsidP="00550811">
      <w:pPr>
        <w:spacing w:before="100" w:beforeAutospacing="1" w:after="100" w:afterAutospacing="1" w:line="360" w:lineRule="atLeast"/>
      </w:pPr>
      <w:r w:rsidRPr="00C77ABF">
        <w:rPr>
          <w:rFonts w:ascii="VIC-Regular" w:eastAsia="Times New Roman" w:hAnsi="VIC-Regular" w:cs="Times New Roman"/>
          <w:color w:val="011A3C"/>
          <w:sz w:val="24"/>
          <w:szCs w:val="24"/>
          <w:lang w:val="en" w:eastAsia="en-AU"/>
        </w:rPr>
        <w:t xml:space="preserve">Minimum: </w:t>
      </w:r>
      <w:r w:rsidR="00337C31">
        <w:rPr>
          <w:rFonts w:ascii="VIC-Regular" w:eastAsia="Times New Roman" w:hAnsi="VIC-Regular" w:cs="Times New Roman"/>
          <w:color w:val="011A3C"/>
          <w:sz w:val="24"/>
          <w:szCs w:val="24"/>
          <w:lang w:val="en" w:eastAsia="en-AU"/>
        </w:rPr>
        <w:t>$</w:t>
      </w:r>
      <w:r w:rsidR="00550811" w:rsidRPr="00550811">
        <w:rPr>
          <w:rFonts w:ascii="VIC-Regular" w:eastAsia="Times New Roman" w:hAnsi="VIC-Regular" w:cs="Times New Roman"/>
          <w:color w:val="011A3C"/>
          <w:sz w:val="24"/>
          <w:szCs w:val="24"/>
          <w:lang w:val="en" w:eastAsia="en-AU"/>
        </w:rPr>
        <w:t>5,752</w:t>
      </w:r>
    </w:p>
    <w:p w14:paraId="440E7F11" w14:textId="77777777" w:rsidR="0076693A" w:rsidRDefault="0076693A" w:rsidP="0076693A">
      <w:r>
        <w:br w:type="page"/>
      </w:r>
    </w:p>
    <w:p w14:paraId="7B2D935A" w14:textId="77777777" w:rsidR="0076693A" w:rsidRPr="00C77ABF" w:rsidRDefault="0076693A" w:rsidP="00842992">
      <w:pPr>
        <w:pStyle w:val="Heading2"/>
      </w:pPr>
      <w:bookmarkStart w:id="36" w:name="_Toc52796192"/>
      <w:r w:rsidRPr="00C77ABF">
        <w:lastRenderedPageBreak/>
        <w:t>Grounds Allowance (Reference 31)</w:t>
      </w:r>
      <w:bookmarkEnd w:id="36"/>
    </w:p>
    <w:p w14:paraId="1E7ADE48"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Grounds Allowance is provided for ground maintenance and improvement. </w:t>
      </w:r>
    </w:p>
    <w:p w14:paraId="6AAE29EC"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Calculation</w:t>
      </w:r>
    </w:p>
    <w:p w14:paraId="368B44A9"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Grounds Square Metres x Grounds Allowance Rate</w:t>
      </w:r>
    </w:p>
    <w:p w14:paraId="17D5DFE3" w14:textId="5135C888"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w:t>
      </w:r>
      <w:r w:rsidR="00550811">
        <w:rPr>
          <w:rFonts w:ascii="VIC-Bold" w:eastAsia="Times New Roman" w:hAnsi="VIC-Bold" w:cs="Times New Roman"/>
          <w:b/>
          <w:bCs/>
          <w:color w:val="011A3C"/>
          <w:sz w:val="27"/>
          <w:szCs w:val="27"/>
          <w:lang w:val="en" w:eastAsia="en-AU"/>
        </w:rPr>
        <w:t>1</w:t>
      </w:r>
    </w:p>
    <w:p w14:paraId="02FACECD" w14:textId="77777777" w:rsidR="0076693A" w:rsidRPr="00C77AB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C77ABF">
        <w:rPr>
          <w:rFonts w:ascii="VIC-Bold" w:eastAsia="Times New Roman" w:hAnsi="VIC-Bold" w:cs="Times New Roman"/>
          <w:color w:val="011A3C"/>
          <w:sz w:val="24"/>
          <w:szCs w:val="24"/>
          <w:lang w:val="en" w:eastAsia="en-AU"/>
        </w:rPr>
        <w:t>Grounds Allowance</w:t>
      </w:r>
    </w:p>
    <w:p w14:paraId="6ADC3EF3" w14:textId="26F1E532" w:rsidR="0076693A" w:rsidRPr="00C77ABF" w:rsidRDefault="00550811"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50811">
        <w:rPr>
          <w:rFonts w:ascii="VIC-Regular" w:eastAsia="Times New Roman" w:hAnsi="VIC-Regular" w:cs="Times New Roman"/>
          <w:color w:val="011A3C"/>
          <w:sz w:val="24"/>
          <w:szCs w:val="24"/>
          <w:lang w:val="en" w:eastAsia="en-AU"/>
        </w:rPr>
        <w:t>0.207</w:t>
      </w:r>
      <w:r w:rsidR="00337C31">
        <w:rPr>
          <w:rFonts w:ascii="VIC-Regular" w:eastAsia="Times New Roman" w:hAnsi="VIC-Regular" w:cs="Times New Roman"/>
          <w:color w:val="011A3C"/>
          <w:sz w:val="24"/>
          <w:szCs w:val="24"/>
          <w:lang w:val="en" w:eastAsia="en-AU"/>
        </w:rPr>
        <w:t>0</w:t>
      </w:r>
      <w:r w:rsidR="0076693A" w:rsidRPr="00C77ABF">
        <w:rPr>
          <w:rFonts w:ascii="VIC-Regular" w:eastAsia="Times New Roman" w:hAnsi="VIC-Regular" w:cs="Times New Roman"/>
          <w:color w:val="011A3C"/>
          <w:sz w:val="24"/>
          <w:szCs w:val="24"/>
          <w:lang w:val="en" w:eastAsia="en-AU"/>
        </w:rPr>
        <w:t>cents per square metre</w:t>
      </w:r>
    </w:p>
    <w:p w14:paraId="11C1471F"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Funding allocation</w:t>
      </w:r>
    </w:p>
    <w:p w14:paraId="6C8E3A19" w14:textId="327CC6A2" w:rsidR="00550811" w:rsidRPr="00550811" w:rsidRDefault="0076693A" w:rsidP="0055081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202</w:t>
      </w:r>
      <w:r w:rsidR="00550811">
        <w:rPr>
          <w:rFonts w:ascii="VIC-Regular" w:eastAsia="Times New Roman" w:hAnsi="VIC-Regular" w:cs="Times New Roman"/>
          <w:color w:val="011A3C"/>
          <w:sz w:val="24"/>
          <w:szCs w:val="24"/>
          <w:lang w:val="en" w:eastAsia="en-AU"/>
        </w:rPr>
        <w:t>1</w:t>
      </w:r>
      <w:r w:rsidRPr="00C77ABF">
        <w:rPr>
          <w:rFonts w:ascii="VIC-Regular" w:eastAsia="Times New Roman" w:hAnsi="VIC-Regular" w:cs="Times New Roman"/>
          <w:color w:val="011A3C"/>
          <w:sz w:val="24"/>
          <w:szCs w:val="24"/>
          <w:lang w:val="en" w:eastAsia="en-AU"/>
        </w:rPr>
        <w:t xml:space="preserve"> SRP Grounds Allowance allocation </w:t>
      </w:r>
      <w:r w:rsidR="00550811" w:rsidRPr="00550811">
        <w:rPr>
          <w:rFonts w:ascii="VIC-Regular" w:eastAsia="Times New Roman" w:hAnsi="VIC-Regular" w:cs="Times New Roman"/>
          <w:color w:val="011A3C"/>
          <w:sz w:val="24"/>
          <w:szCs w:val="24"/>
          <w:lang w:val="en" w:eastAsia="en-AU"/>
        </w:rPr>
        <w:t xml:space="preserve">returns to the standard allocation.  </w:t>
      </w:r>
      <w:r w:rsidR="00550811">
        <w:rPr>
          <w:rFonts w:ascii="VIC-Regular" w:eastAsia="Times New Roman" w:hAnsi="VIC-Regular" w:cs="Times New Roman"/>
          <w:color w:val="011A3C"/>
          <w:sz w:val="24"/>
          <w:szCs w:val="24"/>
          <w:lang w:val="en" w:eastAsia="en-AU"/>
        </w:rPr>
        <w:t xml:space="preserve"> </w:t>
      </w:r>
      <w:r w:rsidR="00550811" w:rsidRPr="00550811">
        <w:rPr>
          <w:rFonts w:ascii="VIC-Regular" w:eastAsia="Times New Roman" w:hAnsi="VIC-Regular" w:cs="Times New Roman"/>
          <w:color w:val="011A3C"/>
          <w:sz w:val="24"/>
          <w:szCs w:val="24"/>
          <w:lang w:val="en" w:eastAsia="en-AU"/>
        </w:rPr>
        <w:t xml:space="preserve">The Maintenance Blitz funding for schools announced in 2019 increased SRP funding in 2019 and 2020 </w:t>
      </w:r>
      <w:r w:rsidR="00550811">
        <w:rPr>
          <w:rFonts w:ascii="VIC-Regular" w:eastAsia="Times New Roman" w:hAnsi="VIC-Regular" w:cs="Times New Roman"/>
          <w:color w:val="011A3C"/>
          <w:sz w:val="24"/>
          <w:szCs w:val="24"/>
          <w:lang w:val="en" w:eastAsia="en-AU"/>
        </w:rPr>
        <w:t xml:space="preserve">only </w:t>
      </w:r>
      <w:r w:rsidR="00550811" w:rsidRPr="00550811">
        <w:rPr>
          <w:rFonts w:ascii="VIC-Regular" w:eastAsia="Times New Roman" w:hAnsi="VIC-Regular" w:cs="Times New Roman"/>
          <w:color w:val="011A3C"/>
          <w:sz w:val="24"/>
          <w:szCs w:val="24"/>
          <w:lang w:val="en" w:eastAsia="en-AU"/>
        </w:rPr>
        <w:t>to enable schools to undertake essential</w:t>
      </w:r>
      <w:r w:rsidR="00550811">
        <w:rPr>
          <w:rFonts w:ascii="VIC-Regular" w:eastAsia="Times New Roman" w:hAnsi="VIC-Regular" w:cs="Times New Roman"/>
          <w:color w:val="011A3C"/>
          <w:sz w:val="24"/>
          <w:szCs w:val="24"/>
          <w:lang w:val="en" w:eastAsia="en-AU"/>
        </w:rPr>
        <w:t xml:space="preserve"> ground</w:t>
      </w:r>
      <w:r w:rsidR="00550811" w:rsidRPr="00550811">
        <w:rPr>
          <w:rFonts w:ascii="VIC-Regular" w:eastAsia="Times New Roman" w:hAnsi="VIC-Regular" w:cs="Times New Roman"/>
          <w:color w:val="011A3C"/>
          <w:sz w:val="24"/>
          <w:szCs w:val="24"/>
          <w:lang w:val="en" w:eastAsia="en-AU"/>
        </w:rPr>
        <w:t xml:space="preserve"> works. </w:t>
      </w:r>
    </w:p>
    <w:p w14:paraId="2024AAA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SRP Grounds Allowance is provided to schools to ensure the grounds of the school are properly maintained.</w:t>
      </w:r>
    </w:p>
    <w:p w14:paraId="39B3812A"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types of specific tasks that should be undertaken include:</w:t>
      </w:r>
    </w:p>
    <w:p w14:paraId="366F0073"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lawn mowing</w:t>
      </w:r>
    </w:p>
    <w:p w14:paraId="5B710D99"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landscaping services</w:t>
      </w:r>
    </w:p>
    <w:p w14:paraId="1B238DE9"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sports field maintenance</w:t>
      </w:r>
    </w:p>
    <w:p w14:paraId="3E07E9A1"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tree management</w:t>
      </w:r>
    </w:p>
    <w:p w14:paraId="509A91FD"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drainage and flooding issues</w:t>
      </w:r>
    </w:p>
    <w:p w14:paraId="54DF8235"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and schedule maintenance tasks. For further information see: </w:t>
      </w:r>
      <w:hyperlink r:id="rId41" w:history="1">
        <w:r w:rsidRPr="00C77ABF">
          <w:rPr>
            <w:rFonts w:ascii="VIC-Regular" w:eastAsia="Times New Roman" w:hAnsi="VIC-Regular" w:cs="Times New Roman"/>
            <w:color w:val="011A3C"/>
            <w:sz w:val="24"/>
            <w:szCs w:val="24"/>
            <w:lang w:val="en" w:eastAsia="en-AU"/>
          </w:rPr>
          <w:t>School Maintenance Plans</w:t>
        </w:r>
      </w:hyperlink>
      <w:r w:rsidRPr="00C77ABF">
        <w:rPr>
          <w:rFonts w:ascii="VIC-Regular" w:eastAsia="Times New Roman" w:hAnsi="VIC-Regular" w:cs="Times New Roman"/>
          <w:color w:val="011A3C"/>
          <w:sz w:val="24"/>
          <w:szCs w:val="24"/>
          <w:lang w:val="en" w:eastAsia="en-AU"/>
        </w:rPr>
        <w:t>.</w:t>
      </w:r>
    </w:p>
    <w:p w14:paraId="2CD83426" w14:textId="70130962"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​Expenditure should be charged to CASES21 Account Code 86505, Grounds Work Sub Program 6050.</w:t>
      </w:r>
      <w:r>
        <w:rPr>
          <w:rFonts w:ascii="VIC-Regular" w:eastAsia="Times New Roman" w:hAnsi="VIC-Regular" w:cs="Times New Roman"/>
          <w:color w:val="011A3C"/>
          <w:sz w:val="24"/>
          <w:szCs w:val="24"/>
          <w:lang w:val="en" w:eastAsia="en-AU"/>
        </w:rPr>
        <w:t xml:space="preserve">  </w:t>
      </w:r>
      <w:bookmarkStart w:id="37" w:name="_Hlk48071125"/>
      <w:r w:rsidR="00947063">
        <w:rPr>
          <w:rFonts w:ascii="VIC-Regular" w:eastAsia="Times New Roman" w:hAnsi="VIC-Regular" w:cs="Times New Roman"/>
          <w:color w:val="011A3C"/>
          <w:sz w:val="24"/>
          <w:szCs w:val="24"/>
          <w:lang w:val="en" w:eastAsia="en-AU"/>
        </w:rPr>
        <w:t xml:space="preserve">SRP funding for Grounds Allowance is calculated at the Indicative and Confirmed cycle and may be updated at the Revised </w:t>
      </w:r>
      <w:r w:rsidR="00947063">
        <w:rPr>
          <w:rFonts w:ascii="VIC-Regular" w:eastAsia="Times New Roman" w:hAnsi="VIC-Regular" w:cs="Times New Roman"/>
          <w:color w:val="011A3C"/>
          <w:sz w:val="24"/>
          <w:szCs w:val="24"/>
          <w:lang w:val="en" w:eastAsia="en-AU"/>
        </w:rPr>
        <w:lastRenderedPageBreak/>
        <w:t>cycle, funding is allocated through cash funding.</w:t>
      </w:r>
      <w:bookmarkEnd w:id="37"/>
      <w:r w:rsidR="00550811">
        <w:rPr>
          <w:rFonts w:ascii="VIC-Regular" w:eastAsia="Times New Roman" w:hAnsi="VIC-Regular" w:cs="Times New Roman"/>
          <w:color w:val="011A3C"/>
          <w:sz w:val="24"/>
          <w:szCs w:val="24"/>
          <w:lang w:val="en" w:eastAsia="en-AU"/>
        </w:rPr>
        <w:t xml:space="preserve"> Grounds area is sourced from the Victorian Government Schools Building Authority. </w:t>
      </w:r>
    </w:p>
    <w:p w14:paraId="4E973BF4" w14:textId="77777777" w:rsidR="0076693A" w:rsidRPr="00C77ABF" w:rsidRDefault="0076693A" w:rsidP="00842992">
      <w:pPr>
        <w:pStyle w:val="Heading2"/>
      </w:pPr>
      <w:bookmarkStart w:id="38" w:name="_Toc52796193"/>
      <w:bookmarkStart w:id="39" w:name="_Hlk50213227"/>
      <w:r w:rsidRPr="002A62F7">
        <w:t>Building Area Allowance (Reference 32)</w:t>
      </w:r>
      <w:bookmarkEnd w:id="38"/>
    </w:p>
    <w:bookmarkEnd w:id="39"/>
    <w:p w14:paraId="16DC1A51" w14:textId="679B81DC" w:rsidR="003116B0" w:rsidRPr="0082626F" w:rsidRDefault="003116B0" w:rsidP="0082626F">
      <w:pPr>
        <w:spacing w:after="0" w:line="240" w:lineRule="auto"/>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Funding for the building area allowance is on the basis of the school’s total building area in square metres.</w:t>
      </w:r>
      <w:r w:rsidR="007F1D90" w:rsidRPr="0082626F">
        <w:rPr>
          <w:rFonts w:ascii="VIC-Regular" w:eastAsia="Times New Roman" w:hAnsi="VIC-Regular" w:cs="Times New Roman"/>
          <w:color w:val="011A3C"/>
          <w:sz w:val="24"/>
          <w:szCs w:val="24"/>
          <w:lang w:val="en" w:eastAsia="en-AU"/>
        </w:rPr>
        <w:t xml:space="preserve"> Total building area is sourced from the VSBA annually.</w:t>
      </w:r>
    </w:p>
    <w:p w14:paraId="14EA6261" w14:textId="77777777" w:rsidR="003116B0" w:rsidRPr="0082626F" w:rsidRDefault="003116B0" w:rsidP="0082626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Calculation</w:t>
      </w:r>
    </w:p>
    <w:p w14:paraId="7ECCEB9E" w14:textId="0E572B2B" w:rsidR="003116B0" w:rsidRDefault="003116B0" w:rsidP="003116B0">
      <w:pPr>
        <w:pStyle w:val="NormalWeb"/>
        <w:spacing w:line="360" w:lineRule="atLeast"/>
        <w:rPr>
          <w:rFonts w:ascii="VIC-Regular" w:hAnsi="VIC-Regular"/>
          <w:color w:val="011A3C"/>
          <w:lang w:val="en"/>
        </w:rPr>
      </w:pPr>
      <w:r>
        <w:rPr>
          <w:rFonts w:ascii="VIC-Regular" w:hAnsi="VIC-Regular"/>
          <w:color w:val="011A3C"/>
          <w:lang w:val="en"/>
        </w:rPr>
        <w:t>Building Area square metres x Building Area Allowance Rate</w:t>
      </w:r>
    </w:p>
    <w:p w14:paraId="1BAC98EE" w14:textId="19FFDFD5" w:rsidR="007F1D90" w:rsidRPr="00865FB6" w:rsidRDefault="007F1D90" w:rsidP="000D106B">
      <w:pPr>
        <w:pStyle w:val="NormalWeb"/>
        <w:spacing w:line="360" w:lineRule="atLeast"/>
        <w:rPr>
          <w:rFonts w:ascii="VIC-Regular" w:hAnsi="VIC-Regular"/>
          <w:color w:val="323E4F" w:themeColor="text2" w:themeShade="BF"/>
          <w:lang w:val="en"/>
        </w:rPr>
      </w:pPr>
      <w:r w:rsidRPr="00865FB6">
        <w:rPr>
          <w:rFonts w:ascii="Calibri" w:hAnsi="Calibri" w:cs="Calibri"/>
          <w:color w:val="323E4F" w:themeColor="text2" w:themeShade="BF"/>
        </w:rPr>
        <w:t>Example: Special school type with a campus type designated as hospital total building area 1,000 sqm x $2</w:t>
      </w:r>
      <w:r w:rsidR="00701354" w:rsidRPr="00865FB6">
        <w:rPr>
          <w:rFonts w:ascii="Calibri" w:hAnsi="Calibri" w:cs="Calibri"/>
          <w:color w:val="323E4F" w:themeColor="text2" w:themeShade="BF"/>
        </w:rPr>
        <w:t>54</w:t>
      </w:r>
      <w:r w:rsidRPr="00865FB6">
        <w:rPr>
          <w:rFonts w:ascii="Calibri" w:hAnsi="Calibri" w:cs="Calibri"/>
          <w:color w:val="323E4F" w:themeColor="text2" w:themeShade="BF"/>
        </w:rPr>
        <w:t>=$</w:t>
      </w:r>
      <w:r w:rsidR="00701354" w:rsidRPr="00865FB6">
        <w:rPr>
          <w:rFonts w:ascii="Calibri" w:hAnsi="Calibri" w:cs="Calibri"/>
          <w:color w:val="323E4F" w:themeColor="text2" w:themeShade="BF"/>
        </w:rPr>
        <w:t>2,540</w:t>
      </w:r>
    </w:p>
    <w:p w14:paraId="1677F813" w14:textId="5465534E" w:rsidR="003116B0" w:rsidRPr="0082626F" w:rsidRDefault="003116B0" w:rsidP="003116B0">
      <w:pPr>
        <w:pStyle w:val="Heading3"/>
        <w:rPr>
          <w:rFonts w:ascii="VIC-Regular" w:eastAsia="Times New Roman" w:hAnsi="VIC-Regular" w:cs="Times New Roman"/>
          <w:color w:val="011A3C"/>
          <w:lang w:val="en" w:eastAsia="en-AU"/>
        </w:rPr>
      </w:pPr>
      <w:r w:rsidRPr="0082626F">
        <w:rPr>
          <w:rFonts w:ascii="VIC-Regular" w:eastAsia="Times New Roman" w:hAnsi="VIC-Regular" w:cs="Times New Roman"/>
          <w:color w:val="011A3C"/>
          <w:lang w:val="en" w:eastAsia="en-AU"/>
        </w:rPr>
        <w:t>Rates 202</w:t>
      </w:r>
      <w:r w:rsidR="00701354">
        <w:rPr>
          <w:rFonts w:ascii="VIC-Regular" w:eastAsia="Times New Roman" w:hAnsi="VIC-Regular" w:cs="Times New Roman"/>
          <w:color w:val="011A3C"/>
          <w:lang w:val="en" w:eastAsia="en-AU"/>
        </w:rPr>
        <w:t>1</w:t>
      </w:r>
      <w:r w:rsidRPr="0082626F">
        <w:rPr>
          <w:rFonts w:ascii="VIC-Regular" w:eastAsia="Times New Roman" w:hAnsi="VIC-Regular" w:cs="Times New Roman"/>
          <w:color w:val="011A3C"/>
          <w:lang w:val="en" w:eastAsia="en-AU"/>
        </w:rPr>
        <w:t xml:space="preserve"> ($/m2 annually)</w:t>
      </w:r>
    </w:p>
    <w:p w14:paraId="1374A521" w14:textId="4E39BD76"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 xml:space="preserve">Day special: </w:t>
      </w:r>
      <w:r w:rsidR="00701354">
        <w:rPr>
          <w:rFonts w:ascii="VIC-Regular" w:eastAsia="Times New Roman" w:hAnsi="VIC-Regular" w:cs="Times New Roman"/>
          <w:color w:val="011A3C"/>
          <w:sz w:val="24"/>
          <w:szCs w:val="24"/>
          <w:lang w:val="en" w:eastAsia="en-AU"/>
        </w:rPr>
        <w:t>$</w:t>
      </w:r>
      <w:r w:rsidR="00701354" w:rsidRPr="00701354">
        <w:rPr>
          <w:rFonts w:ascii="VIC-Regular" w:eastAsia="Times New Roman" w:hAnsi="VIC-Regular" w:cs="Times New Roman"/>
          <w:color w:val="011A3C"/>
          <w:sz w:val="24"/>
          <w:szCs w:val="24"/>
          <w:lang w:val="en" w:eastAsia="en-AU"/>
        </w:rPr>
        <w:t>2.54</w:t>
      </w:r>
      <w:r w:rsidRPr="0082626F">
        <w:rPr>
          <w:rFonts w:ascii="VIC-Regular" w:eastAsia="Times New Roman" w:hAnsi="VIC-Regular" w:cs="Times New Roman"/>
          <w:color w:val="011A3C"/>
          <w:sz w:val="24"/>
          <w:szCs w:val="24"/>
          <w:lang w:val="en" w:eastAsia="en-AU"/>
        </w:rPr>
        <w:t>/m2</w:t>
      </w:r>
    </w:p>
    <w:p w14:paraId="7CEFAD9D" w14:textId="182647D0"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 xml:space="preserve">Special development school: </w:t>
      </w:r>
      <w:r w:rsidR="00701354">
        <w:rPr>
          <w:rFonts w:ascii="VIC-Regular" w:eastAsia="Times New Roman" w:hAnsi="VIC-Regular" w:cs="Times New Roman"/>
          <w:color w:val="011A3C"/>
          <w:sz w:val="24"/>
          <w:szCs w:val="24"/>
          <w:lang w:val="en" w:eastAsia="en-AU"/>
        </w:rPr>
        <w:t>$</w:t>
      </w:r>
      <w:r w:rsidR="00701354" w:rsidRPr="00701354">
        <w:rPr>
          <w:rFonts w:ascii="VIC-Regular" w:eastAsia="Times New Roman" w:hAnsi="VIC-Regular" w:cs="Times New Roman"/>
          <w:color w:val="011A3C"/>
          <w:sz w:val="24"/>
          <w:szCs w:val="24"/>
          <w:lang w:val="en" w:eastAsia="en-AU"/>
        </w:rPr>
        <w:t>2.98</w:t>
      </w:r>
      <w:r w:rsidRPr="0082626F">
        <w:rPr>
          <w:rFonts w:ascii="VIC-Regular" w:eastAsia="Times New Roman" w:hAnsi="VIC-Regular" w:cs="Times New Roman"/>
          <w:color w:val="011A3C"/>
          <w:sz w:val="24"/>
          <w:szCs w:val="24"/>
          <w:lang w:val="en" w:eastAsia="en-AU"/>
        </w:rPr>
        <w:t>/m2</w:t>
      </w:r>
    </w:p>
    <w:p w14:paraId="11E45CF2" w14:textId="73E3607C"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 xml:space="preserve">Physical disability: </w:t>
      </w:r>
      <w:bookmarkStart w:id="40" w:name="_Hlk50393729"/>
      <w:r w:rsidR="00701354">
        <w:rPr>
          <w:rFonts w:ascii="VIC-Regular" w:eastAsia="Times New Roman" w:hAnsi="VIC-Regular" w:cs="Times New Roman"/>
          <w:color w:val="011A3C"/>
          <w:sz w:val="24"/>
          <w:szCs w:val="24"/>
          <w:lang w:val="en" w:eastAsia="en-AU"/>
        </w:rPr>
        <w:t>$</w:t>
      </w:r>
      <w:r w:rsidR="00701354" w:rsidRPr="00701354">
        <w:rPr>
          <w:rFonts w:ascii="VIC-Regular" w:eastAsia="Times New Roman" w:hAnsi="VIC-Regular" w:cs="Times New Roman"/>
          <w:color w:val="011A3C"/>
          <w:sz w:val="24"/>
          <w:szCs w:val="24"/>
          <w:lang w:val="en" w:eastAsia="en-AU"/>
        </w:rPr>
        <w:t>2.54</w:t>
      </w:r>
      <w:bookmarkEnd w:id="40"/>
      <w:r w:rsidRPr="0082626F">
        <w:rPr>
          <w:rFonts w:ascii="VIC-Regular" w:eastAsia="Times New Roman" w:hAnsi="VIC-Regular" w:cs="Times New Roman"/>
          <w:color w:val="011A3C"/>
          <w:sz w:val="24"/>
          <w:szCs w:val="24"/>
          <w:lang w:val="en" w:eastAsia="en-AU"/>
        </w:rPr>
        <w:t>/m2</w:t>
      </w:r>
    </w:p>
    <w:p w14:paraId="00CE5B9A" w14:textId="74F96091"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 xml:space="preserve">Hospital special: </w:t>
      </w:r>
      <w:r w:rsidR="00701354" w:rsidRPr="00701354">
        <w:rPr>
          <w:rFonts w:ascii="VIC-Regular" w:eastAsia="Times New Roman" w:hAnsi="VIC-Regular" w:cs="Times New Roman"/>
          <w:color w:val="011A3C"/>
          <w:sz w:val="24"/>
          <w:szCs w:val="24"/>
          <w:lang w:val="en" w:eastAsia="en-AU"/>
        </w:rPr>
        <w:t>$2.54</w:t>
      </w:r>
      <w:r w:rsidRPr="0082626F">
        <w:rPr>
          <w:rFonts w:ascii="VIC-Regular" w:eastAsia="Times New Roman" w:hAnsi="VIC-Regular" w:cs="Times New Roman"/>
          <w:color w:val="011A3C"/>
          <w:sz w:val="24"/>
          <w:szCs w:val="24"/>
          <w:lang w:val="en" w:eastAsia="en-AU"/>
        </w:rPr>
        <w:t>/m2</w:t>
      </w:r>
    </w:p>
    <w:p w14:paraId="079CD274" w14:textId="1DFA8DB1"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 xml:space="preserve">Visual/hearing impaired: </w:t>
      </w:r>
      <w:r w:rsidR="00701354" w:rsidRPr="00701354">
        <w:rPr>
          <w:rFonts w:ascii="VIC-Regular" w:eastAsia="Times New Roman" w:hAnsi="VIC-Regular" w:cs="Times New Roman"/>
          <w:color w:val="011A3C"/>
          <w:sz w:val="24"/>
          <w:szCs w:val="24"/>
          <w:lang w:val="en" w:eastAsia="en-AU"/>
        </w:rPr>
        <w:t>$2.54</w:t>
      </w:r>
      <w:r w:rsidRPr="0082626F">
        <w:rPr>
          <w:rFonts w:ascii="VIC-Regular" w:eastAsia="Times New Roman" w:hAnsi="VIC-Regular" w:cs="Times New Roman"/>
          <w:color w:val="011A3C"/>
          <w:sz w:val="24"/>
          <w:szCs w:val="24"/>
          <w:lang w:val="en" w:eastAsia="en-AU"/>
        </w:rPr>
        <w:t>/m2</w:t>
      </w:r>
    </w:p>
    <w:p w14:paraId="264265C3" w14:textId="242A1FF1"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 xml:space="preserve">Language school: </w:t>
      </w:r>
      <w:bookmarkStart w:id="41" w:name="_Hlk50393772"/>
      <w:r w:rsidR="00701354">
        <w:rPr>
          <w:rFonts w:ascii="VIC-Regular" w:eastAsia="Times New Roman" w:hAnsi="VIC-Regular" w:cs="Times New Roman"/>
          <w:color w:val="011A3C"/>
          <w:sz w:val="24"/>
          <w:szCs w:val="24"/>
          <w:lang w:val="en" w:eastAsia="en-AU"/>
        </w:rPr>
        <w:t>$</w:t>
      </w:r>
      <w:r w:rsidR="00701354" w:rsidRPr="00701354">
        <w:rPr>
          <w:rFonts w:ascii="VIC-Regular" w:eastAsia="Times New Roman" w:hAnsi="VIC-Regular" w:cs="Times New Roman"/>
          <w:color w:val="011A3C"/>
          <w:sz w:val="24"/>
          <w:szCs w:val="24"/>
          <w:lang w:val="en" w:eastAsia="en-AU"/>
        </w:rPr>
        <w:t>2.00</w:t>
      </w:r>
      <w:bookmarkEnd w:id="41"/>
      <w:r w:rsidRPr="0082626F">
        <w:rPr>
          <w:rFonts w:ascii="VIC-Regular" w:eastAsia="Times New Roman" w:hAnsi="VIC-Regular" w:cs="Times New Roman"/>
          <w:color w:val="011A3C"/>
          <w:sz w:val="24"/>
          <w:szCs w:val="24"/>
          <w:lang w:val="en" w:eastAsia="en-AU"/>
        </w:rPr>
        <w:t>/m2</w:t>
      </w:r>
    </w:p>
    <w:p w14:paraId="5C46C2F7" w14:textId="7F182E8C"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 xml:space="preserve">Youth training centre: </w:t>
      </w:r>
      <w:r w:rsidR="00701354" w:rsidRPr="00701354">
        <w:rPr>
          <w:rFonts w:ascii="VIC-Regular" w:eastAsia="Times New Roman" w:hAnsi="VIC-Regular" w:cs="Times New Roman"/>
          <w:color w:val="011A3C"/>
          <w:sz w:val="24"/>
          <w:szCs w:val="24"/>
          <w:lang w:val="en" w:eastAsia="en-AU"/>
        </w:rPr>
        <w:t>$2.00</w:t>
      </w:r>
      <w:r w:rsidRPr="0082626F">
        <w:rPr>
          <w:rFonts w:ascii="VIC-Regular" w:eastAsia="Times New Roman" w:hAnsi="VIC-Regular" w:cs="Times New Roman"/>
          <w:color w:val="011A3C"/>
          <w:sz w:val="24"/>
          <w:szCs w:val="24"/>
          <w:lang w:val="en" w:eastAsia="en-AU"/>
        </w:rPr>
        <w:t>/m2</w:t>
      </w:r>
    </w:p>
    <w:p w14:paraId="48733CD1" w14:textId="77777777" w:rsidR="0076693A" w:rsidRDefault="0076693A" w:rsidP="0076693A"/>
    <w:p w14:paraId="07F10C26" w14:textId="19555C5F" w:rsidR="0076693A" w:rsidRDefault="0076693A" w:rsidP="0076693A">
      <w:r>
        <w:br w:type="page"/>
      </w:r>
    </w:p>
    <w:p w14:paraId="456BC8B3" w14:textId="77777777" w:rsidR="0076693A" w:rsidRPr="003A6CA6" w:rsidRDefault="0076693A" w:rsidP="00842992">
      <w:pPr>
        <w:pStyle w:val="Heading2"/>
      </w:pPr>
      <w:bookmarkStart w:id="42" w:name="_Toc52796194"/>
      <w:r w:rsidRPr="003A6CA6">
        <w:lastRenderedPageBreak/>
        <w:t>Split-Site/Multi-Site Allowance (Reference 33)</w:t>
      </w:r>
      <w:bookmarkEnd w:id="42"/>
    </w:p>
    <w:p w14:paraId="52FF4C06" w14:textId="3B7426DD"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Split-site/multi-site allowances are paid to designated primary, P-12 and secondary colleges which are not being funded for a separate enrolment linked base (</w:t>
      </w:r>
      <w:hyperlink r:id="rId42" w:history="1">
        <w:r w:rsidRPr="003A6CA6">
          <w:rPr>
            <w:rFonts w:ascii="VIC-Regular" w:eastAsia="Times New Roman" w:hAnsi="VIC-Regular" w:cs="Times New Roman"/>
            <w:color w:val="011A3C"/>
            <w:sz w:val="24"/>
            <w:szCs w:val="24"/>
            <w:lang w:val="en" w:eastAsia="en-AU"/>
          </w:rPr>
          <w:t>Reference 2</w:t>
        </w:r>
      </w:hyperlink>
      <w:r w:rsidRPr="003A6CA6">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w:t>
      </w:r>
      <w:r w:rsidR="007F1D90" w:rsidRPr="003A6CA6">
        <w:rPr>
          <w:rFonts w:ascii="VIC-Regular" w:eastAsia="Times New Roman" w:hAnsi="VIC-Regular" w:cs="Times New Roman"/>
          <w:color w:val="011A3C"/>
          <w:sz w:val="24"/>
          <w:szCs w:val="24"/>
          <w:lang w:val="en" w:eastAsia="en-AU"/>
        </w:rPr>
        <w:t>).</w:t>
      </w:r>
      <w:r w:rsidR="007F1D90">
        <w:rPr>
          <w:rFonts w:ascii="VIC-Regular" w:eastAsia="Times New Roman" w:hAnsi="VIC-Regular" w:cs="Times New Roman"/>
          <w:color w:val="011A3C"/>
          <w:sz w:val="24"/>
          <w:szCs w:val="24"/>
          <w:lang w:val="en" w:eastAsia="en-AU"/>
        </w:rPr>
        <w:t xml:space="preserve"> Specialist and Language Schools are also eligible if applied criteria is satisfied. </w:t>
      </w:r>
    </w:p>
    <w:p w14:paraId="27146995"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A school may be eligible for the allowance if:</w:t>
      </w:r>
    </w:p>
    <w:p w14:paraId="55234614" w14:textId="77777777" w:rsidR="0076693A" w:rsidRPr="003A6CA6" w:rsidRDefault="0076693A" w:rsidP="00976FD5">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it is a specialist school operating on sites that are more than one kilometre apart (not including base rooms)</w:t>
      </w:r>
    </w:p>
    <w:p w14:paraId="45445C02"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or</w:t>
      </w:r>
    </w:p>
    <w:p w14:paraId="6A8AA465" w14:textId="5DBEB46F" w:rsidR="0076693A" w:rsidRPr="003A6CA6" w:rsidRDefault="0076693A" w:rsidP="00976FD5">
      <w:pPr>
        <w:numPr>
          <w:ilvl w:val="0"/>
          <w:numId w:val="5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the configuration of the school represents a historical merging of two or more schools</w:t>
      </w:r>
    </w:p>
    <w:p w14:paraId="63D1B791"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or</w:t>
      </w:r>
    </w:p>
    <w:p w14:paraId="7F7C1FB2" w14:textId="77777777" w:rsidR="0076693A" w:rsidRPr="003A6CA6" w:rsidRDefault="0076693A" w:rsidP="00976FD5">
      <w:pPr>
        <w:numPr>
          <w:ilvl w:val="0"/>
          <w:numId w:val="5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it has classrooms operating on two or more sites e.g. separated by at least a road or an oval (not including alternative settings attached to schools).</w:t>
      </w:r>
    </w:p>
    <w:p w14:paraId="57D8F0B1"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b/>
          <w:bCs/>
          <w:color w:val="011A3C"/>
          <w:sz w:val="24"/>
          <w:szCs w:val="24"/>
          <w:lang w:val="en" w:eastAsia="en-AU"/>
        </w:rPr>
        <w:t>Note:</w:t>
      </w:r>
    </w:p>
    <w:p w14:paraId="3896880C"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(a) Includes P–12 colleges that have more than one primary school site.</w:t>
      </w:r>
    </w:p>
    <w:p w14:paraId="01EE14B9"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(b) For approved secondary colleges formed through the merger of secondary colleges on adjacent sites, this item is replaced by a $58,389 site allowance.</w:t>
      </w:r>
    </w:p>
    <w:p w14:paraId="259DA0F3" w14:textId="62683022" w:rsidR="0076693A" w:rsidRPr="00E41D59" w:rsidRDefault="007F1D90"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43" w:name="_Hlk47010300"/>
      <w:r w:rsidRPr="005727F1">
        <w:rPr>
          <w:rFonts w:ascii="VIC-Regular" w:eastAsia="Times New Roman" w:hAnsi="VIC-Regular" w:cs="Times New Roman"/>
          <w:color w:val="011A3C"/>
          <w:sz w:val="24"/>
          <w:szCs w:val="24"/>
          <w:lang w:val="en" w:eastAsia="en-AU"/>
        </w:rPr>
        <w:t>Funding is calculated at the Indicative cycle</w:t>
      </w:r>
      <w:r>
        <w:rPr>
          <w:rFonts w:ascii="VIC-Regular" w:eastAsia="Times New Roman" w:hAnsi="VIC-Regular" w:cs="Times New Roman"/>
          <w:color w:val="011A3C"/>
          <w:sz w:val="24"/>
          <w:szCs w:val="24"/>
          <w:lang w:val="en" w:eastAsia="en-AU"/>
        </w:rPr>
        <w:t xml:space="preserve"> and allocated </w:t>
      </w:r>
      <w:r w:rsidRPr="005727F1">
        <w:rPr>
          <w:rFonts w:ascii="VIC-Regular" w:eastAsia="Times New Roman" w:hAnsi="VIC-Regular" w:cs="Times New Roman"/>
          <w:color w:val="011A3C"/>
          <w:sz w:val="24"/>
          <w:szCs w:val="24"/>
          <w:lang w:val="en" w:eastAsia="en-AU"/>
        </w:rPr>
        <w:t>through cash funding</w:t>
      </w:r>
      <w:bookmarkEnd w:id="43"/>
      <w:r>
        <w:rPr>
          <w:rFonts w:ascii="VIC-Regular" w:eastAsia="Times New Roman" w:hAnsi="VIC-Regular" w:cs="Times New Roman"/>
          <w:color w:val="011A3C"/>
          <w:sz w:val="24"/>
          <w:szCs w:val="24"/>
          <w:lang w:val="en" w:eastAsia="en-AU"/>
        </w:rPr>
        <w:t>.</w:t>
      </w:r>
    </w:p>
    <w:p w14:paraId="2B345669" w14:textId="781CDEA9" w:rsidR="0076693A" w:rsidRPr="00976FD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76FD5">
        <w:rPr>
          <w:rFonts w:ascii="VIC-Bold" w:eastAsia="Times New Roman" w:hAnsi="VIC-Bold" w:cs="Times New Roman"/>
          <w:b/>
          <w:bCs/>
          <w:color w:val="011A3C"/>
          <w:sz w:val="27"/>
          <w:szCs w:val="27"/>
          <w:lang w:val="en" w:eastAsia="en-AU"/>
        </w:rPr>
        <w:t>Rates 202</w:t>
      </w:r>
      <w:r w:rsidR="00550811">
        <w:rPr>
          <w:rFonts w:ascii="VIC-Bold" w:eastAsia="Times New Roman" w:hAnsi="VIC-Bold" w:cs="Times New Roman"/>
          <w:b/>
          <w:bCs/>
          <w:color w:val="011A3C"/>
          <w:sz w:val="27"/>
          <w:szCs w:val="27"/>
          <w:lang w:val="en" w:eastAsia="en-AU"/>
        </w:rPr>
        <w:t>1</w:t>
      </w:r>
    </w:p>
    <w:p w14:paraId="11E3B33E" w14:textId="77777777"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t>Primary school</w:t>
      </w:r>
      <w:r w:rsidRPr="003A6CA6">
        <w:rPr>
          <w:rFonts w:ascii="VIC-Bold" w:eastAsia="Times New Roman" w:hAnsi="VIC-Bold" w:cs="Times New Roman"/>
          <w:color w:val="011A3C"/>
          <w:sz w:val="24"/>
          <w:szCs w:val="24"/>
          <w:lang w:val="en" w:eastAsia="en-AU"/>
        </w:rPr>
        <w:t xml:space="preserve"> (includes P–12 colleges that have more than one primary site)</w:t>
      </w:r>
    </w:p>
    <w:p w14:paraId="676014BB" w14:textId="0696FF85" w:rsidR="0076693A" w:rsidRPr="003A6CA6" w:rsidRDefault="00B614CB" w:rsidP="00976FD5">
      <w:pPr>
        <w:numPr>
          <w:ilvl w:val="0"/>
          <w:numId w:val="56"/>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00550811" w:rsidRPr="00550811">
        <w:rPr>
          <w:rFonts w:ascii="VIC-Regular" w:eastAsia="Times New Roman" w:hAnsi="VIC-Regular" w:cs="Times New Roman"/>
          <w:color w:val="011A3C"/>
          <w:sz w:val="24"/>
          <w:szCs w:val="24"/>
          <w:lang w:val="en" w:eastAsia="en-AU"/>
        </w:rPr>
        <w:t>6,565</w:t>
      </w:r>
      <w:r w:rsidR="0076693A" w:rsidRPr="003A6CA6">
        <w:rPr>
          <w:rFonts w:ascii="VIC-Regular" w:eastAsia="Times New Roman" w:hAnsi="VIC-Regular" w:cs="Times New Roman"/>
          <w:color w:val="011A3C"/>
          <w:sz w:val="24"/>
          <w:szCs w:val="24"/>
          <w:lang w:val="en" w:eastAsia="en-AU"/>
        </w:rPr>
        <w:t>per annum for the second site</w:t>
      </w:r>
    </w:p>
    <w:p w14:paraId="6C084783" w14:textId="69D54A2F" w:rsidR="0076693A" w:rsidRPr="003A6CA6" w:rsidRDefault="00B614CB" w:rsidP="00976FD5">
      <w:pPr>
        <w:numPr>
          <w:ilvl w:val="0"/>
          <w:numId w:val="56"/>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00550811" w:rsidRPr="00550811">
        <w:rPr>
          <w:rFonts w:ascii="VIC-Regular" w:eastAsia="Times New Roman" w:hAnsi="VIC-Regular" w:cs="Times New Roman"/>
          <w:color w:val="011A3C"/>
          <w:sz w:val="24"/>
          <w:szCs w:val="24"/>
          <w:lang w:val="en" w:eastAsia="en-AU"/>
        </w:rPr>
        <w:t>3,284</w:t>
      </w:r>
      <w:r w:rsidR="0076693A" w:rsidRPr="003A6CA6">
        <w:rPr>
          <w:rFonts w:ascii="VIC-Regular" w:eastAsia="Times New Roman" w:hAnsi="VIC-Regular" w:cs="Times New Roman"/>
          <w:color w:val="011A3C"/>
          <w:sz w:val="24"/>
          <w:szCs w:val="24"/>
          <w:lang w:val="en" w:eastAsia="en-AU"/>
        </w:rPr>
        <w:t>per annum for each subsequent site</w:t>
      </w:r>
    </w:p>
    <w:p w14:paraId="14AC56EB" w14:textId="77777777"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lastRenderedPageBreak/>
        <w:t>P–12 school</w:t>
      </w:r>
    </w:p>
    <w:p w14:paraId="66F816D5" w14:textId="5ACFA33A" w:rsidR="00B846F8" w:rsidRDefault="00B614CB" w:rsidP="000D106B">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10,359</w:t>
      </w:r>
      <w:r w:rsidR="0076693A" w:rsidRPr="003A6CA6">
        <w:rPr>
          <w:rFonts w:ascii="VIC-Regular" w:eastAsia="Times New Roman" w:hAnsi="VIC-Regular" w:cs="Times New Roman"/>
          <w:color w:val="011A3C"/>
          <w:sz w:val="24"/>
          <w:szCs w:val="24"/>
          <w:lang w:val="en" w:eastAsia="en-AU"/>
        </w:rPr>
        <w:t>per annum for each additional site</w:t>
      </w:r>
    </w:p>
    <w:p w14:paraId="6AB5BEFC" w14:textId="77777777" w:rsidR="00F85311" w:rsidRPr="000D106B" w:rsidRDefault="00F85311" w:rsidP="00865FB6">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37AEEF0F" w14:textId="079E8244"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t>Secondary college</w:t>
      </w:r>
    </w:p>
    <w:p w14:paraId="4D15E23F" w14:textId="30543764" w:rsidR="0076693A" w:rsidRDefault="00B614CB" w:rsidP="00976FD5">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10,359</w:t>
      </w:r>
      <w:r w:rsidR="0076693A" w:rsidRPr="003A6CA6">
        <w:rPr>
          <w:rFonts w:ascii="VIC-Regular" w:eastAsia="Times New Roman" w:hAnsi="VIC-Regular" w:cs="Times New Roman"/>
          <w:color w:val="011A3C"/>
          <w:sz w:val="24"/>
          <w:szCs w:val="24"/>
          <w:lang w:val="en" w:eastAsia="en-AU"/>
        </w:rPr>
        <w:t>per annum for each additional site</w:t>
      </w:r>
    </w:p>
    <w:p w14:paraId="061F0547" w14:textId="77777777" w:rsidR="007F1D90" w:rsidRPr="003A6CA6" w:rsidRDefault="007F1D90" w:rsidP="007F1D9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Pr>
          <w:rFonts w:ascii="VIC-Bold" w:eastAsia="Times New Roman" w:hAnsi="VIC-Bold" w:cs="Times New Roman"/>
          <w:b/>
          <w:bCs/>
          <w:color w:val="011A3C"/>
          <w:sz w:val="24"/>
          <w:szCs w:val="24"/>
          <w:lang w:val="en" w:eastAsia="en-AU"/>
        </w:rPr>
        <w:t>Language school</w:t>
      </w:r>
    </w:p>
    <w:p w14:paraId="1A7B4551" w14:textId="29DDBA2A" w:rsidR="007F1D90" w:rsidRPr="007F1D90" w:rsidRDefault="00B614CB" w:rsidP="007F1D90">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10,359</w:t>
      </w:r>
      <w:r w:rsidR="007F1D90" w:rsidRPr="003A6CA6">
        <w:rPr>
          <w:rFonts w:ascii="VIC-Regular" w:eastAsia="Times New Roman" w:hAnsi="VIC-Regular" w:cs="Times New Roman"/>
          <w:color w:val="011A3C"/>
          <w:sz w:val="24"/>
          <w:szCs w:val="24"/>
          <w:lang w:val="en" w:eastAsia="en-AU"/>
        </w:rPr>
        <w:t>per annum for each additional site</w:t>
      </w:r>
    </w:p>
    <w:p w14:paraId="7740ADDF" w14:textId="48E1D37D" w:rsidR="0076693A" w:rsidRPr="00976FD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976FD5">
        <w:rPr>
          <w:rFonts w:ascii="VIC-Bold" w:eastAsia="Times New Roman" w:hAnsi="VIC-Bold" w:cs="Times New Roman"/>
          <w:b/>
          <w:bCs/>
          <w:color w:val="011A3C"/>
          <w:sz w:val="24"/>
          <w:szCs w:val="24"/>
          <w:lang w:val="en" w:eastAsia="en-AU"/>
        </w:rPr>
        <w:t>Special School</w:t>
      </w:r>
    </w:p>
    <w:p w14:paraId="52F30820" w14:textId="16ED9CBD" w:rsidR="0076693A" w:rsidRPr="000D106B" w:rsidRDefault="00B614CB" w:rsidP="0076693A">
      <w:pPr>
        <w:numPr>
          <w:ilvl w:val="0"/>
          <w:numId w:val="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B614CB">
        <w:rPr>
          <w:rFonts w:ascii="VIC-Regular" w:eastAsia="Times New Roman" w:hAnsi="VIC-Regular" w:cs="Times New Roman"/>
          <w:color w:val="011A3C"/>
          <w:sz w:val="24"/>
          <w:szCs w:val="24"/>
          <w:lang w:val="en" w:eastAsia="en-AU"/>
        </w:rPr>
        <w:t>2,911</w:t>
      </w:r>
      <w:r w:rsidR="0076693A" w:rsidRPr="003A6CA6">
        <w:rPr>
          <w:rFonts w:ascii="VIC-Regular" w:eastAsia="Times New Roman" w:hAnsi="VIC-Regular" w:cs="Times New Roman"/>
          <w:color w:val="011A3C"/>
          <w:sz w:val="24"/>
          <w:szCs w:val="24"/>
          <w:lang w:val="en" w:eastAsia="en-AU"/>
        </w:rPr>
        <w:t>per annum for each additional site</w:t>
      </w:r>
    </w:p>
    <w:p w14:paraId="508B86A5" w14:textId="347DB1A7" w:rsidR="0076693A" w:rsidRDefault="00B614CB" w:rsidP="0076693A">
      <w:r w:rsidRPr="00371B75">
        <w:rPr>
          <w:color w:val="323E4F" w:themeColor="text2" w:themeShade="BF"/>
        </w:rPr>
        <w:t xml:space="preserve">Note – A stocktake of schools is scheduled to occur during 2021 and schools currently receiving this allocation will be assessed and sites no longer operational will have funding discontinued from 2022.  </w:t>
      </w:r>
      <w:r w:rsidR="0076693A">
        <w:br w:type="page"/>
      </w:r>
    </w:p>
    <w:p w14:paraId="13B94BAD" w14:textId="77777777" w:rsidR="0076693A" w:rsidRPr="00AC49BE" w:rsidRDefault="0076693A" w:rsidP="00842992">
      <w:pPr>
        <w:pStyle w:val="Heading2"/>
      </w:pPr>
      <w:bookmarkStart w:id="44" w:name="_Toc52796195"/>
      <w:r w:rsidRPr="00AC49BE">
        <w:lastRenderedPageBreak/>
        <w:t>Utilities (Reference 34)</w:t>
      </w:r>
      <w:bookmarkEnd w:id="44"/>
    </w:p>
    <w:p w14:paraId="4698D642"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Utilities funding is provided as a cash allocation as part of a school’s Student Resource Package (SRP) under the School Infrastructure items. Funding is distributed through the quarterly cash grant.</w:t>
      </w:r>
    </w:p>
    <w:p w14:paraId="7060747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Utilities funding is provided for the following items.</w:t>
      </w:r>
    </w:p>
    <w:p w14:paraId="3F611F46"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Electricity</w:t>
      </w:r>
    </w:p>
    <w:p w14:paraId="0BF987B1"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Natural and LPG Gas</w:t>
      </w:r>
    </w:p>
    <w:p w14:paraId="7ED73ACF"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Water/rates</w:t>
      </w:r>
    </w:p>
    <w:p w14:paraId="21F8092B"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Refuse and Garbage</w:t>
      </w:r>
    </w:p>
    <w:p w14:paraId="438474BD"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Telephones and sanitation costs are not included under the utilities budget.</w:t>
      </w:r>
    </w:p>
    <w:p w14:paraId="4B7F406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utilities budget is based on historical spending plus indexation. It is not formula driven and therefore is not automatically adjusted to reflect changes in a school’s profile.</w:t>
      </w:r>
    </w:p>
    <w:p w14:paraId="6BD60BF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Schools that have undergone building configuration changes or had major works that have materially impacted on utility costs may be eligible for an ongoing utilities budget adjustment to help support those additional costs.</w:t>
      </w:r>
    </w:p>
    <w:p w14:paraId="0D9652E2"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Energy Supplement</w:t>
      </w:r>
    </w:p>
    <w:p w14:paraId="58F106A0" w14:textId="631326C9" w:rsidR="00397125" w:rsidRPr="00397125" w:rsidRDefault="00397125" w:rsidP="0039712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7125">
        <w:rPr>
          <w:rFonts w:ascii="VIC-Regular" w:eastAsia="Times New Roman" w:hAnsi="VIC-Regular" w:cs="Times New Roman"/>
          <w:color w:val="011A3C"/>
          <w:sz w:val="24"/>
          <w:szCs w:val="24"/>
          <w:lang w:val="en" w:eastAsia="en-AU"/>
        </w:rPr>
        <w:t>In 2021, $15m will be distributed to schools experiencing a significant utilities funding shortfall and this investment ensures all schools are funded at a level that places them in a more sustainable position to manage their overall financial position.</w:t>
      </w:r>
    </w:p>
    <w:p w14:paraId="31981140" w14:textId="28F26437" w:rsidR="00397125" w:rsidRPr="00397125" w:rsidRDefault="00397125" w:rsidP="0039712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7125">
        <w:rPr>
          <w:rFonts w:ascii="VIC-Regular" w:eastAsia="Times New Roman" w:hAnsi="VIC-Regular" w:cs="Times New Roman"/>
          <w:color w:val="011A3C"/>
          <w:sz w:val="24"/>
          <w:szCs w:val="24"/>
          <w:lang w:val="en" w:eastAsia="en-AU"/>
        </w:rPr>
        <w:t xml:space="preserve">Funding will be distributed based on school type and size, and has considered each school’s end of year utilities funding position. </w:t>
      </w:r>
    </w:p>
    <w:p w14:paraId="75B53A91" w14:textId="77777777" w:rsidR="00F1742D" w:rsidRDefault="00397125" w:rsidP="0076693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397125">
        <w:rPr>
          <w:rFonts w:ascii="VIC-Regular" w:eastAsia="Times New Roman" w:hAnsi="VIC-Regular" w:cs="Times New Roman"/>
          <w:color w:val="011A3C"/>
          <w:sz w:val="24"/>
          <w:szCs w:val="24"/>
          <w:lang w:val="en" w:eastAsia="en-AU"/>
        </w:rPr>
        <w:t>This additional utilities funding will be included as part of your school’s overall Student Resource Package (SRP) utilities budget for 2021.</w:t>
      </w:r>
    </w:p>
    <w:p w14:paraId="775523F1" w14:textId="4E0A2188"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Whole of Victorian Government Energy Contracts</w:t>
      </w:r>
    </w:p>
    <w:p w14:paraId="28370218" w14:textId="34A2C71E" w:rsidR="00B846F8" w:rsidRPr="000D106B"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Department is currently a participant in Whole of Victorian Government contracts that cover the supply of electricity and natural gas to all school sites (meters).</w:t>
      </w:r>
    </w:p>
    <w:p w14:paraId="6C4FEC47" w14:textId="754D0EA0"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lastRenderedPageBreak/>
        <w:t>Electricity</w:t>
      </w:r>
    </w:p>
    <w:p w14:paraId="5128492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b/>
          <w:bCs/>
          <w:color w:val="011A3C"/>
          <w:sz w:val="24"/>
          <w:szCs w:val="24"/>
          <w:lang w:val="en" w:eastAsia="en-AU"/>
        </w:rPr>
        <w:t xml:space="preserve">1. Red Energy </w:t>
      </w:r>
      <w:r w:rsidRPr="00AC49BE">
        <w:rPr>
          <w:rFonts w:ascii="VIC-Regular" w:eastAsia="Times New Roman" w:hAnsi="VIC-Regular" w:cs="Times New Roman"/>
          <w:color w:val="011A3C"/>
          <w:sz w:val="24"/>
          <w:szCs w:val="24"/>
          <w:lang w:val="en" w:eastAsia="en-AU"/>
        </w:rPr>
        <w:t>is our retailer for schools (meters) that consume &gt;40 MWh pa.</w:t>
      </w:r>
    </w:p>
    <w:p w14:paraId="118AD2E8"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billing enquiries</w:t>
      </w:r>
    </w:p>
    <w:p w14:paraId="15C9C62E"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Laura Wilkin/Taimur Khan — email: </w:t>
      </w:r>
      <w:hyperlink r:id="rId43" w:history="1">
        <w:r w:rsidRPr="00AC49BE">
          <w:rPr>
            <w:rFonts w:ascii="VIC-Regular" w:eastAsia="Times New Roman" w:hAnsi="VIC-Regular" w:cs="Times New Roman"/>
            <w:color w:val="011A3C"/>
            <w:sz w:val="24"/>
            <w:szCs w:val="24"/>
            <w:lang w:val="en" w:eastAsia="en-AU"/>
          </w:rPr>
          <w:t>business@redenergy.com.au</w:t>
        </w:r>
      </w:hyperlink>
      <w:r w:rsidRPr="00AC49BE">
        <w:rPr>
          <w:rFonts w:ascii="VIC-Regular" w:eastAsia="Times New Roman" w:hAnsi="VIC-Regular" w:cs="Times New Roman"/>
          <w:color w:val="011A3C"/>
          <w:sz w:val="24"/>
          <w:szCs w:val="24"/>
          <w:lang w:val="en" w:eastAsia="en-AU"/>
        </w:rPr>
        <w:t xml:space="preserve">  ph: </w:t>
      </w:r>
      <w:hyperlink r:id="rId44" w:history="1">
        <w:r w:rsidRPr="00AC49BE">
          <w:rPr>
            <w:rFonts w:ascii="VIC-Regular" w:eastAsia="Times New Roman" w:hAnsi="VIC-Regular" w:cs="Times New Roman"/>
            <w:color w:val="011A3C"/>
            <w:sz w:val="24"/>
            <w:szCs w:val="24"/>
            <w:lang w:val="en" w:eastAsia="en-AU"/>
          </w:rPr>
          <w:t>1300 322 067</w:t>
        </w:r>
      </w:hyperlink>
    </w:p>
    <w:p w14:paraId="78C4998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b/>
          <w:bCs/>
          <w:color w:val="011A3C"/>
          <w:sz w:val="24"/>
          <w:szCs w:val="24"/>
          <w:lang w:val="en" w:eastAsia="en-AU"/>
        </w:rPr>
        <w:t>2. AGL</w:t>
      </w:r>
      <w:r w:rsidRPr="00AC49BE">
        <w:rPr>
          <w:rFonts w:ascii="VIC-Regular" w:eastAsia="Times New Roman" w:hAnsi="VIC-Regular" w:cs="Times New Roman"/>
          <w:color w:val="011A3C"/>
          <w:sz w:val="24"/>
          <w:szCs w:val="24"/>
          <w:lang w:val="en" w:eastAsia="en-AU"/>
        </w:rPr>
        <w:t xml:space="preserve"> is our retailer for schools (meters) that consume &lt;40 MWh pa</w:t>
      </w:r>
    </w:p>
    <w:p w14:paraId="29424FBF"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billing enquiries</w:t>
      </w:r>
    </w:p>
    <w:p w14:paraId="6FFA105A" w14:textId="010AF19E"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Email: </w:t>
      </w:r>
      <w:hyperlink r:id="rId45" w:history="1">
        <w:r w:rsidRPr="00AC49BE">
          <w:rPr>
            <w:rFonts w:ascii="VIC-Regular" w:eastAsia="Times New Roman" w:hAnsi="VIC-Regular" w:cs="Times New Roman"/>
            <w:color w:val="011A3C"/>
            <w:sz w:val="24"/>
            <w:szCs w:val="24"/>
            <w:lang w:val="en" w:eastAsia="en-AU"/>
          </w:rPr>
          <w:t>vicgov@agl.com.au</w:t>
        </w:r>
      </w:hyperlink>
      <w:r w:rsidRPr="00AC49BE">
        <w:rPr>
          <w:rFonts w:ascii="VIC-Regular" w:eastAsia="Times New Roman" w:hAnsi="VIC-Regular" w:cs="Times New Roman"/>
          <w:color w:val="011A3C"/>
          <w:sz w:val="24"/>
          <w:szCs w:val="24"/>
          <w:lang w:val="en" w:eastAsia="en-AU"/>
        </w:rPr>
        <w:t xml:space="preserve"> ph: </w:t>
      </w:r>
      <w:hyperlink r:id="rId46" w:history="1">
        <w:r w:rsidRPr="00AC49BE">
          <w:rPr>
            <w:rFonts w:ascii="VIC-Regular" w:eastAsia="Times New Roman" w:hAnsi="VIC-Regular" w:cs="Times New Roman"/>
            <w:color w:val="011A3C"/>
            <w:sz w:val="24"/>
            <w:szCs w:val="24"/>
            <w:lang w:val="en" w:eastAsia="en-AU"/>
          </w:rPr>
          <w:t>1300 793 477</w:t>
        </w:r>
      </w:hyperlink>
    </w:p>
    <w:p w14:paraId="67522ED9"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Natural Gas</w:t>
      </w:r>
      <w:r w:rsidRPr="00314BC0">
        <w:rPr>
          <w:rFonts w:ascii="VIC-Bold" w:eastAsia="Times New Roman" w:hAnsi="VIC-Bold" w:cs="Times New Roman" w:hint="eastAsia"/>
          <w:b/>
          <w:bCs/>
          <w:color w:val="011A3C"/>
          <w:sz w:val="27"/>
          <w:szCs w:val="27"/>
          <w:lang w:val="en" w:eastAsia="en-AU"/>
        </w:rPr>
        <w:t>  </w:t>
      </w:r>
    </w:p>
    <w:p w14:paraId="56DC393C" w14:textId="5A2E4B2A"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Origin Energy is the provider of Natural Gas under a Whole of Government contract arrangement.</w:t>
      </w:r>
    </w:p>
    <w:p w14:paraId="598C9D0B" w14:textId="3954DA98"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contract commence</w:t>
      </w:r>
      <w:r w:rsidR="00397125">
        <w:rPr>
          <w:rFonts w:ascii="VIC-Regular" w:eastAsia="Times New Roman" w:hAnsi="VIC-Regular" w:cs="Times New Roman"/>
          <w:color w:val="011A3C"/>
          <w:sz w:val="24"/>
          <w:szCs w:val="24"/>
          <w:lang w:val="en" w:eastAsia="en-AU"/>
        </w:rPr>
        <w:t>d</w:t>
      </w:r>
      <w:r w:rsidRPr="00AC49BE">
        <w:rPr>
          <w:rFonts w:ascii="VIC-Regular" w:eastAsia="Times New Roman" w:hAnsi="VIC-Regular" w:cs="Times New Roman"/>
          <w:color w:val="011A3C"/>
          <w:sz w:val="24"/>
          <w:szCs w:val="24"/>
          <w:lang w:val="en" w:eastAsia="en-AU"/>
        </w:rPr>
        <w:t xml:space="preserve"> on 1 January 2020 and runs initially for two years.</w:t>
      </w:r>
    </w:p>
    <w:p w14:paraId="02719E92"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transfer, billing and new connection enquiries</w:t>
      </w:r>
    </w:p>
    <w:p w14:paraId="5BDCE5E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Email: </w:t>
      </w:r>
      <w:hyperlink r:id="rId47" w:history="1">
        <w:r w:rsidRPr="00AC49BE">
          <w:rPr>
            <w:rFonts w:ascii="VIC-Regular" w:eastAsia="Times New Roman" w:hAnsi="VIC-Regular" w:cs="Times New Roman"/>
            <w:color w:val="011A3C"/>
            <w:sz w:val="24"/>
            <w:szCs w:val="24"/>
            <w:lang w:val="en" w:eastAsia="en-AU"/>
          </w:rPr>
          <w:t>vicgovernment@originenergy.com.au</w:t>
        </w:r>
      </w:hyperlink>
    </w:p>
    <w:p w14:paraId="48E4BA67" w14:textId="63BD962C" w:rsidR="007F1D90" w:rsidRPr="000D106B"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Phone: </w:t>
      </w:r>
      <w:hyperlink r:id="rId48" w:history="1">
        <w:r w:rsidRPr="00AC49BE">
          <w:rPr>
            <w:rFonts w:ascii="VIC-Regular" w:eastAsia="Times New Roman" w:hAnsi="VIC-Regular" w:cs="Times New Roman"/>
            <w:color w:val="011A3C"/>
            <w:sz w:val="24"/>
            <w:szCs w:val="24"/>
            <w:lang w:val="en" w:eastAsia="en-AU"/>
          </w:rPr>
          <w:t>1800 319 299</w:t>
        </w:r>
      </w:hyperlink>
    </w:p>
    <w:p w14:paraId="060FC52B" w14:textId="3F115D7B" w:rsidR="007F1D90" w:rsidRPr="007F1D90" w:rsidRDefault="007F1D90" w:rsidP="007F1D90">
      <w:pPr>
        <w:spacing w:before="100" w:beforeAutospacing="1" w:after="100" w:afterAutospacing="1" w:line="240" w:lineRule="auto"/>
        <w:rPr>
          <w:rFonts w:ascii="Times New Roman" w:eastAsia="Times New Roman" w:hAnsi="Times New Roman" w:cs="Times New Roman"/>
          <w:color w:val="011A3C"/>
          <w:sz w:val="24"/>
          <w:szCs w:val="24"/>
          <w:lang w:eastAsia="en-AU"/>
        </w:rPr>
      </w:pPr>
      <w:r w:rsidRPr="009679AC">
        <w:rPr>
          <w:rFonts w:ascii="Times New Roman" w:eastAsia="Times New Roman" w:hAnsi="Times New Roman" w:cs="Times New Roman"/>
          <w:color w:val="011A3C"/>
          <w:sz w:val="24"/>
          <w:szCs w:val="24"/>
          <w:lang w:eastAsia="en-AU"/>
        </w:rPr>
        <w:t>For further tariff and contract information, see: </w:t>
      </w:r>
      <w:hyperlink r:id="rId49" w:history="1">
        <w:r w:rsidRPr="009679AC">
          <w:rPr>
            <w:rFonts w:ascii="Times New Roman" w:eastAsia="Times New Roman" w:hAnsi="Times New Roman" w:cs="Times New Roman"/>
            <w:color w:val="1855BF"/>
            <w:sz w:val="24"/>
            <w:szCs w:val="24"/>
            <w:lang w:eastAsia="en-AU"/>
          </w:rPr>
          <w:t>Student Resource Package</w:t>
        </w:r>
      </w:hyperlink>
      <w:r w:rsidRPr="009679AC">
        <w:rPr>
          <w:rFonts w:ascii="Times New Roman" w:eastAsia="Times New Roman" w:hAnsi="Times New Roman" w:cs="Times New Roman"/>
          <w:color w:val="011A3C"/>
          <w:sz w:val="24"/>
          <w:szCs w:val="24"/>
          <w:lang w:eastAsia="en-AU"/>
        </w:rPr>
        <w:t> (school user log in required).</w:t>
      </w:r>
    </w:p>
    <w:p w14:paraId="687990B6" w14:textId="104C191D"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Any school not supplied under the relevant Whole of Victorian Government contract must contact Mr Brett Duff on email: </w:t>
      </w:r>
      <w:hyperlink r:id="rId50" w:history="1"/>
      <w:hyperlink r:id="rId51" w:history="1">
        <w:r w:rsidRPr="003245EA">
          <w:rPr>
            <w:rStyle w:val="Hyperlink"/>
            <w:rFonts w:ascii="Times New Roman" w:eastAsia="Times New Roman" w:hAnsi="Times New Roman" w:cs="Times New Roman"/>
            <w:sz w:val="24"/>
            <w:szCs w:val="24"/>
            <w:lang w:eastAsia="en-AU"/>
          </w:rPr>
          <w:t xml:space="preserve"> Brett.Duff@education</w:t>
        </w:r>
        <w:r w:rsidRPr="003245EA">
          <w:rPr>
            <w:rStyle w:val="Hyperlink"/>
            <w:rFonts w:ascii="VIC-Regular" w:eastAsia="Times New Roman" w:hAnsi="VIC-Regular" w:cs="Times New Roman"/>
            <w:sz w:val="24"/>
            <w:szCs w:val="24"/>
            <w:lang w:val="en" w:eastAsia="en-AU"/>
          </w:rPr>
          <w:t>.vic.gov.au</w:t>
        </w:r>
      </w:hyperlink>
      <w:r w:rsidRPr="00AC49BE">
        <w:rPr>
          <w:rFonts w:ascii="VIC-Regular" w:eastAsia="Times New Roman" w:hAnsi="VIC-Regular" w:cs="Times New Roman"/>
          <w:color w:val="011A3C"/>
          <w:sz w:val="24"/>
          <w:szCs w:val="24"/>
          <w:lang w:val="en" w:eastAsia="en-AU"/>
        </w:rPr>
        <w:t>, to arrange transition to the appropriate Whole of Victorian Government retailer. All other queries can be directed to the retailer.</w:t>
      </w:r>
    </w:p>
    <w:p w14:paraId="0A8AAB7A" w14:textId="399C7188" w:rsidR="00B846F8" w:rsidRPr="000D106B"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In lieu of schools joining a Whole of Government contract, schools must not sign or negotiate individual or group contracts for the supply of electricity and natural gas irrespective of usage levels as per the Executive Memo 2005/19 Update on the Supply of Electricity and Natural Gas.</w:t>
      </w:r>
    </w:p>
    <w:p w14:paraId="294B2030" w14:textId="615810D5" w:rsidR="0076693A" w:rsidRPr="00314BC0" w:rsidRDefault="0076693A" w:rsidP="000D106B">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lastRenderedPageBreak/>
        <w:t>Water</w:t>
      </w:r>
    </w:p>
    <w:p w14:paraId="421E9AF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All schools are supplied water by their designated water authority. No government contract is in place for water.</w:t>
      </w:r>
    </w:p>
    <w:p w14:paraId="2B2AF0A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To assist schools with managing water costs, we encourage you to join the Schools Water Efficiency Program (SWEP). SWEP is a state government initiative jointly developed and funded by the Department of Environment, Land, Water and Planning (DELWP) and the Department of Education and Training (DET).</w:t>
      </w:r>
    </w:p>
    <w:p w14:paraId="295F4675"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SWEP provides you with a program to monitor your schools’ water usage to save water, money and educate students about water efficiency concepts. You can register online for SWEP or learn more by visiting </w:t>
      </w:r>
      <w:hyperlink r:id="rId52" w:history="1">
        <w:r w:rsidRPr="00AC49BE">
          <w:rPr>
            <w:rFonts w:ascii="VIC-Regular" w:eastAsia="Times New Roman" w:hAnsi="VIC-Regular" w:cs="Times New Roman"/>
            <w:color w:val="011A3C"/>
            <w:sz w:val="24"/>
            <w:szCs w:val="24"/>
            <w:lang w:val="en" w:eastAsia="en-AU"/>
          </w:rPr>
          <w:t>www.myswep.com.au</w:t>
        </w:r>
      </w:hyperlink>
      <w:r w:rsidRPr="00AC49BE">
        <w:rPr>
          <w:rFonts w:ascii="VIC-Regular" w:eastAsia="Times New Roman" w:hAnsi="VIC-Regular" w:cs="Times New Roman"/>
          <w:color w:val="011A3C"/>
          <w:sz w:val="24"/>
          <w:szCs w:val="24"/>
          <w:lang w:val="en" w:eastAsia="en-AU"/>
        </w:rPr>
        <w:t>.</w:t>
      </w:r>
    </w:p>
    <w:p w14:paraId="471EBFC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Separately, schools in Victoria are eligible for a rebate on their fixed charges for water and sewer (self supply schools are ineligible). This initiative developed by the State Revenue Office provides a rebate of up to a maximum of $260 yearly. The application form that needs to be submitted to your local water authority can be accessed via the following link: </w:t>
      </w:r>
      <w:hyperlink r:id="rId53" w:history="1">
        <w:r w:rsidRPr="00AC49BE">
          <w:rPr>
            <w:rFonts w:ascii="VIC-Regular" w:eastAsia="Times New Roman" w:hAnsi="VIC-Regular" w:cs="Times New Roman"/>
            <w:color w:val="011A3C"/>
            <w:sz w:val="24"/>
            <w:szCs w:val="24"/>
            <w:lang w:val="en" w:eastAsia="en-AU"/>
          </w:rPr>
          <w:t xml:space="preserve"> https://www.sro.vic.gov.au/forms/apply-water-and-sewerage-rebate</w:t>
        </w:r>
      </w:hyperlink>
      <w:r w:rsidRPr="00AC49BE">
        <w:rPr>
          <w:rFonts w:ascii="VIC-Regular" w:eastAsia="Times New Roman" w:hAnsi="VIC-Regular" w:cs="Times New Roman"/>
          <w:color w:val="011A3C"/>
          <w:sz w:val="24"/>
          <w:szCs w:val="24"/>
          <w:lang w:val="en" w:eastAsia="en-AU"/>
        </w:rPr>
        <w:t xml:space="preserve"> or by contacting the State Revenue Office on </w:t>
      </w:r>
      <w:hyperlink r:id="rId54" w:history="1">
        <w:r w:rsidRPr="00AC49BE">
          <w:rPr>
            <w:rFonts w:ascii="VIC-Regular" w:eastAsia="Times New Roman" w:hAnsi="VIC-Regular" w:cs="Times New Roman"/>
            <w:color w:val="011A3C"/>
            <w:sz w:val="24"/>
            <w:szCs w:val="24"/>
            <w:lang w:val="en" w:eastAsia="en-AU"/>
          </w:rPr>
          <w:t>9628 0301</w:t>
        </w:r>
      </w:hyperlink>
      <w:r w:rsidRPr="00AC49BE">
        <w:rPr>
          <w:rFonts w:ascii="VIC-Regular" w:eastAsia="Times New Roman" w:hAnsi="VIC-Regular" w:cs="Times New Roman"/>
          <w:color w:val="011A3C"/>
          <w:sz w:val="24"/>
          <w:szCs w:val="24"/>
          <w:lang w:val="en" w:eastAsia="en-AU"/>
        </w:rPr>
        <w:t>.</w:t>
      </w:r>
    </w:p>
    <w:p w14:paraId="01B04E3A" w14:textId="77777777" w:rsidR="0076693A" w:rsidRPr="00071346"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71346">
        <w:rPr>
          <w:rFonts w:ascii="VIC-Bold" w:eastAsia="Times New Roman" w:hAnsi="VIC-Bold" w:cs="Times New Roman"/>
          <w:b/>
          <w:bCs/>
          <w:color w:val="011A3C"/>
          <w:sz w:val="27"/>
          <w:szCs w:val="27"/>
          <w:lang w:val="en" w:eastAsia="en-AU"/>
        </w:rPr>
        <w:t>New schools, refurbishment or major building works</w:t>
      </w:r>
    </w:p>
    <w:p w14:paraId="4C32D082" w14:textId="7B3712BD" w:rsidR="0076693A" w:rsidRPr="000D106B"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Projects of this nature will involve new connections, or upgrades in infrastructure used to supply electricity or natural gas. Where this is the case, schools should make early contact with the appropriate Whole of Victorian Government electricity or natural gas supplier in order to understand both the nature and cost of this aspect of the project.</w:t>
      </w:r>
      <w:r w:rsidRPr="00AC49BE">
        <w:rPr>
          <w:rFonts w:ascii="VIC-Regular" w:eastAsia="Times New Roman" w:hAnsi="VIC-Regular" w:cs="Times New Roman"/>
          <w:color w:val="011A3C"/>
          <w:sz w:val="24"/>
          <w:szCs w:val="24"/>
          <w:lang w:val="en" w:eastAsia="en-AU"/>
        </w:rPr>
        <w:t> </w:t>
      </w:r>
    </w:p>
    <w:p w14:paraId="5475F8FF" w14:textId="77777777" w:rsidR="0076693A" w:rsidRDefault="0076693A" w:rsidP="0076693A">
      <w:r>
        <w:br w:type="page"/>
      </w:r>
    </w:p>
    <w:p w14:paraId="4CDE2C72" w14:textId="77777777" w:rsidR="0076693A" w:rsidRPr="00AC49BE" w:rsidRDefault="0076693A" w:rsidP="00842992">
      <w:pPr>
        <w:pStyle w:val="Heading2"/>
      </w:pPr>
      <w:bookmarkStart w:id="45" w:name="_Toc52796196"/>
      <w:bookmarkStart w:id="46" w:name="_Hlk50214434"/>
      <w:r w:rsidRPr="00AC49BE">
        <w:lastRenderedPageBreak/>
        <w:t>Maintenance (Reference 35)</w:t>
      </w:r>
      <w:bookmarkEnd w:id="45"/>
    </w:p>
    <w:p w14:paraId="025BFB2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for Maintenance and Minor Works funding distributes:</w:t>
      </w:r>
    </w:p>
    <w:p w14:paraId="2AC6A8CA" w14:textId="77777777" w:rsidR="006930AA" w:rsidRPr="006930AA" w:rsidRDefault="0076693A" w:rsidP="006930AA">
      <w:pPr>
        <w:pStyle w:val="ListParagraph"/>
        <w:numPr>
          <w:ilvl w:val="0"/>
          <w:numId w:val="2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930AA">
        <w:rPr>
          <w:rFonts w:ascii="VIC-Regular" w:eastAsia="Times New Roman" w:hAnsi="VIC-Regular" w:cs="Times New Roman"/>
          <w:color w:val="011A3C"/>
          <w:sz w:val="24"/>
          <w:szCs w:val="24"/>
          <w:lang w:val="en" w:eastAsia="en-AU"/>
        </w:rPr>
        <w:t>50% of the available funds on the basis of areas required for the school’s enrolments (a school’s ‘facility area’</w:t>
      </w:r>
      <w:r w:rsidR="002E3184" w:rsidRPr="006930AA">
        <w:rPr>
          <w:rFonts w:ascii="VIC-Regular" w:eastAsia="Times New Roman" w:hAnsi="VIC-Regular" w:cs="Times New Roman"/>
          <w:color w:val="011A3C"/>
          <w:sz w:val="24"/>
          <w:szCs w:val="24"/>
          <w:lang w:val="en" w:eastAsia="en-AU"/>
        </w:rPr>
        <w:t xml:space="preserve"> as per the 2018 Facility Area Schedules)</w:t>
      </w:r>
    </w:p>
    <w:p w14:paraId="297DF0BC" w14:textId="1E57D658" w:rsidR="0076693A" w:rsidRPr="006930AA" w:rsidRDefault="0076693A" w:rsidP="006930AA">
      <w:pPr>
        <w:pStyle w:val="ListParagraph"/>
        <w:numPr>
          <w:ilvl w:val="0"/>
          <w:numId w:val="2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930AA">
        <w:rPr>
          <w:rFonts w:ascii="VIC-Regular" w:eastAsia="Times New Roman" w:hAnsi="VIC-Regular" w:cs="Times New Roman"/>
          <w:color w:val="011A3C"/>
          <w:sz w:val="24"/>
          <w:szCs w:val="24"/>
          <w:lang w:val="en" w:eastAsia="en-AU"/>
        </w:rPr>
        <w:t>25% on the type of materials used in the construction of the school buildings</w:t>
      </w:r>
    </w:p>
    <w:p w14:paraId="5F891DDC" w14:textId="77777777" w:rsidR="0076693A" w:rsidRPr="00AC49BE" w:rsidRDefault="0076693A" w:rsidP="00D93949">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25% on the relative age of those buildings</w:t>
      </w:r>
    </w:p>
    <w:p w14:paraId="2A4B584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Appropriate factors are also applied to cater for the higher costs associated with building works in remote areas.</w:t>
      </w:r>
    </w:p>
    <w:p w14:paraId="2786E0C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calculates the facility area for each school, in accordance with the 2018 Facility Schedules that set out the number, type, and area of learning spaces required based on enrolment.</w:t>
      </w:r>
    </w:p>
    <w:p w14:paraId="7C6A2096"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multiplies the actual area of each building by factors for both its building construction material and building age.</w:t>
      </w:r>
    </w:p>
    <w:p w14:paraId="0E7102B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SRP Maintenance and Minor Works grant is paid on a quarterly basis as part of the SRP budget cash grant.</w:t>
      </w:r>
    </w:p>
    <w:p w14:paraId="208219C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a schools Maintenance and Minor Works funding allocation between calendar years and /or between indicative and confirmed allocation may have occurred due to:</w:t>
      </w:r>
    </w:p>
    <w:p w14:paraId="3A246F7E"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building data</w:t>
      </w:r>
    </w:p>
    <w:p w14:paraId="22D5FA16"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enrolment</w:t>
      </w:r>
    </w:p>
    <w:p w14:paraId="05E7D225"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in relocatable buildings</w:t>
      </w:r>
    </w:p>
    <w:p w14:paraId="2975991A"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in the state-wide maintenance budget </w:t>
      </w:r>
    </w:p>
    <w:p w14:paraId="1F7F551C" w14:textId="77777777" w:rsidR="0076693A" w:rsidRPr="00D93949"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Funding allocation</w:t>
      </w:r>
    </w:p>
    <w:p w14:paraId="715108B2" w14:textId="47C0D2AF" w:rsidR="00A72674" w:rsidRPr="00A72674" w:rsidRDefault="00A72674" w:rsidP="002E3184">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72674">
        <w:rPr>
          <w:rFonts w:ascii="VIC-Regular" w:eastAsia="Times New Roman" w:hAnsi="VIC-Regular" w:cs="Times New Roman"/>
          <w:color w:val="011A3C"/>
          <w:sz w:val="24"/>
          <w:szCs w:val="24"/>
          <w:lang w:val="en" w:eastAsia="en-AU"/>
        </w:rPr>
        <w:t xml:space="preserve">The Maintenance Blitz funding for schools announced in 2019 increased SRP funding in 2019 and 2020 to enable schools to undertake essential works. </w:t>
      </w:r>
    </w:p>
    <w:p w14:paraId="1E852BFD" w14:textId="19A89CA7" w:rsidR="0076693A" w:rsidRPr="000D106B" w:rsidRDefault="00A72674" w:rsidP="0076693A">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72674">
        <w:rPr>
          <w:rFonts w:ascii="VIC-Regular" w:eastAsia="Times New Roman" w:hAnsi="VIC-Regular" w:cs="Times New Roman"/>
          <w:color w:val="011A3C"/>
          <w:sz w:val="24"/>
          <w:szCs w:val="24"/>
          <w:lang w:val="en" w:eastAsia="en-AU"/>
        </w:rPr>
        <w:lastRenderedPageBreak/>
        <w:t xml:space="preserve">In 2021 the maintenance and minor works and grounds SRP budget returns to the standard allocation.  </w:t>
      </w:r>
      <w:bookmarkStart w:id="47" w:name="_Hlk50214056"/>
    </w:p>
    <w:bookmarkEnd w:id="47"/>
    <w:p w14:paraId="75F55B4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All schools are encouraged to undertake proactive maintenance planning, using all available information, including routine maintenance guides and the results of condition assessments. It is vital that schools use their SRP Maintenance and Minor Works allocation for the active and ongoing maintenance of facilities and to prevent potential health and safety issues.</w:t>
      </w:r>
    </w:p>
    <w:p w14:paraId="60BABE5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and schedule maintenance tasks. For further information see: </w:t>
      </w:r>
      <w:hyperlink r:id="rId55" w:history="1">
        <w:r w:rsidRPr="00AC49BE">
          <w:rPr>
            <w:rFonts w:ascii="VIC-Regular" w:eastAsia="Times New Roman" w:hAnsi="VIC-Regular" w:cs="Times New Roman"/>
            <w:color w:val="011A3C"/>
            <w:sz w:val="24"/>
            <w:szCs w:val="24"/>
            <w:lang w:val="en" w:eastAsia="en-AU"/>
          </w:rPr>
          <w:t>School Maintenance Plans</w:t>
        </w:r>
      </w:hyperlink>
      <w:r w:rsidRPr="00AC49BE">
        <w:rPr>
          <w:rFonts w:ascii="VIC-Regular" w:eastAsia="Times New Roman" w:hAnsi="VIC-Regular" w:cs="Times New Roman"/>
          <w:color w:val="011A3C"/>
          <w:sz w:val="24"/>
          <w:szCs w:val="24"/>
          <w:lang w:val="en" w:eastAsia="en-AU"/>
        </w:rPr>
        <w:t xml:space="preserve"> or contact </w:t>
      </w:r>
      <w:hyperlink r:id="rId56" w:history="1">
        <w:r w:rsidRPr="00AC49BE">
          <w:rPr>
            <w:rFonts w:ascii="VIC-Regular" w:eastAsia="Times New Roman" w:hAnsi="VIC-Regular" w:cs="Times New Roman"/>
            <w:color w:val="011A3C"/>
            <w:sz w:val="24"/>
            <w:szCs w:val="24"/>
            <w:lang w:val="en" w:eastAsia="en-AU"/>
          </w:rPr>
          <w:t>vsba.asset.management@edumail.vic.gov.au</w:t>
        </w:r>
      </w:hyperlink>
    </w:p>
    <w:p w14:paraId="739494D0" w14:textId="17BA768E" w:rsidR="0076693A" w:rsidRPr="000D106B"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​Expenditure should be charged to (CASES21 Revenue 70091 Expenditure 86504 Program 620 Sub Program 6201).</w:t>
      </w:r>
      <w:r w:rsidRPr="00E4289D">
        <w:t xml:space="preserve"> </w:t>
      </w:r>
      <w:r w:rsidR="007F1D90" w:rsidRPr="00E4289D">
        <w:rPr>
          <w:rFonts w:ascii="VIC-Regular" w:eastAsia="Times New Roman" w:hAnsi="VIC-Regular" w:cs="Times New Roman"/>
          <w:color w:val="011A3C"/>
          <w:sz w:val="24"/>
          <w:szCs w:val="24"/>
          <w:lang w:val="en" w:eastAsia="en-AU"/>
        </w:rPr>
        <w:t xml:space="preserve">SRP funding for </w:t>
      </w:r>
      <w:r w:rsidR="007F1D90">
        <w:rPr>
          <w:rFonts w:ascii="VIC-Regular" w:eastAsia="Times New Roman" w:hAnsi="VIC-Regular" w:cs="Times New Roman"/>
          <w:color w:val="011A3C"/>
          <w:sz w:val="24"/>
          <w:szCs w:val="24"/>
          <w:lang w:val="en" w:eastAsia="en-AU"/>
        </w:rPr>
        <w:t xml:space="preserve">Maintenance </w:t>
      </w:r>
      <w:r w:rsidR="007F1D90" w:rsidRPr="00E4289D">
        <w:rPr>
          <w:rFonts w:ascii="VIC-Regular" w:eastAsia="Times New Roman" w:hAnsi="VIC-Regular" w:cs="Times New Roman"/>
          <w:color w:val="011A3C"/>
          <w:sz w:val="24"/>
          <w:szCs w:val="24"/>
          <w:lang w:val="en" w:eastAsia="en-AU"/>
        </w:rPr>
        <w:t>is calculated at the Indicative and Confirmed cycle and may be updated at the Revised cycle, funding is allocated through</w:t>
      </w:r>
      <w:r w:rsidR="007F1D90">
        <w:rPr>
          <w:rFonts w:ascii="VIC-Regular" w:eastAsia="Times New Roman" w:hAnsi="VIC-Regular" w:cs="Times New Roman"/>
          <w:color w:val="011A3C"/>
          <w:sz w:val="24"/>
          <w:szCs w:val="24"/>
          <w:lang w:val="en" w:eastAsia="en-AU"/>
        </w:rPr>
        <w:t xml:space="preserve"> </w:t>
      </w:r>
      <w:r w:rsidR="007F1D90" w:rsidRPr="00E4289D">
        <w:rPr>
          <w:rFonts w:ascii="VIC-Regular" w:eastAsia="Times New Roman" w:hAnsi="VIC-Regular" w:cs="Times New Roman"/>
          <w:color w:val="011A3C"/>
          <w:sz w:val="24"/>
          <w:szCs w:val="24"/>
          <w:lang w:val="en" w:eastAsia="en-AU"/>
        </w:rPr>
        <w:t>cash funding.</w:t>
      </w:r>
    </w:p>
    <w:p w14:paraId="261DE07B" w14:textId="77777777" w:rsidR="0076693A" w:rsidRDefault="0076693A" w:rsidP="0076693A">
      <w:r>
        <w:br w:type="page"/>
      </w:r>
    </w:p>
    <w:p w14:paraId="1897063E" w14:textId="4DCBD37C" w:rsidR="0076693A" w:rsidRDefault="009753DC" w:rsidP="00842992">
      <w:pPr>
        <w:pStyle w:val="Heading2"/>
      </w:pPr>
      <w:bookmarkStart w:id="48" w:name="_Toc52796197"/>
      <w:r>
        <w:lastRenderedPageBreak/>
        <w:t xml:space="preserve">Annual Contracts and Essential Safety Measures </w:t>
      </w:r>
      <w:r w:rsidR="002C736A">
        <w:t>(ACES)</w:t>
      </w:r>
      <w:bookmarkStart w:id="49" w:name="_Toc51047870"/>
      <w:r w:rsidR="002177B1">
        <w:t xml:space="preserve"> </w:t>
      </w:r>
      <w:r>
        <w:t>(</w:t>
      </w:r>
      <w:r w:rsidRPr="002177B1">
        <w:t>Ref</w:t>
      </w:r>
      <w:r w:rsidR="002177B1">
        <w:t> </w:t>
      </w:r>
      <w:r w:rsidRPr="002177B1">
        <w:t>36</w:t>
      </w:r>
      <w:r>
        <w:t>)</w:t>
      </w:r>
      <w:bookmarkEnd w:id="48"/>
      <w:bookmarkEnd w:id="49"/>
    </w:p>
    <w:p w14:paraId="2259140C" w14:textId="74D733B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Annual Contracts allocation provides for the routine servicing, inspection, and testing of various items both essential and mandatory. The types of specific tasks that should be undertaken are inspection and servicing for:</w:t>
      </w:r>
    </w:p>
    <w:p w14:paraId="4E62C70E"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hygiene requirements (namely, sanitary bins, nappy bins, sharps containers)</w:t>
      </w:r>
    </w:p>
    <w:p w14:paraId="3E7B54DA"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sewage and water treatments</w:t>
      </w:r>
    </w:p>
    <w:p w14:paraId="1C731733"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lifts (if required)</w:t>
      </w:r>
    </w:p>
    <w:p w14:paraId="064DB781"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termite inspections</w:t>
      </w:r>
    </w:p>
    <w:p w14:paraId="6E857746"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heating (e.g. hot water boilers and gas wall furnaces)</w:t>
      </w:r>
    </w:p>
    <w:p w14:paraId="113DA71A"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air conditioning (if required)</w:t>
      </w:r>
    </w:p>
    <w:p w14:paraId="05404EDD"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vertical school systems (i.e. Heating, Ventilation, and Air Conditioning)</w:t>
      </w:r>
    </w:p>
    <w:p w14:paraId="0F1E3387"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Costs associated with repairs for any of the equipment serviced under this component are funded within the Maintenance portion of the SRP.</w:t>
      </w:r>
    </w:p>
    <w:p w14:paraId="14AB8136"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allocation for SRP Annual Contracts includes funding for the servicing of existing air conditioning units at eligible schools. This does not include funding for new air conditioning units.</w:t>
      </w:r>
    </w:p>
    <w:p w14:paraId="1288ACD1" w14:textId="77777777" w:rsidR="0076693A" w:rsidRPr="00AC49BE" w:rsidRDefault="007E3659"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57" w:history="1">
        <w:r w:rsidR="0076693A" w:rsidRPr="00AC49BE">
          <w:rPr>
            <w:rFonts w:ascii="VIC-Regular" w:eastAsia="Times New Roman" w:hAnsi="VIC-Regular" w:cs="Times New Roman"/>
            <w:color w:val="011A3C"/>
            <w:sz w:val="24"/>
            <w:szCs w:val="24"/>
            <w:lang w:val="en" w:eastAsia="en-AU"/>
          </w:rPr>
          <w:t>Essential Safety Measures</w:t>
        </w:r>
      </w:hyperlink>
      <w:r w:rsidR="0076693A" w:rsidRPr="00AC49BE">
        <w:rPr>
          <w:rFonts w:ascii="VIC-Regular" w:eastAsia="Times New Roman" w:hAnsi="VIC-Regular" w:cs="Times New Roman"/>
          <w:color w:val="011A3C"/>
          <w:sz w:val="24"/>
          <w:szCs w:val="24"/>
          <w:lang w:val="en" w:eastAsia="en-AU"/>
        </w:rPr>
        <w:t xml:space="preserve"> (ESM) are fire and life safety items installed or constructed in a building, such as exit lights, fire extinguishers and fire doors. When correctly maintained, ESM support students, staff and visitors to evacuate safely in the event of a fire.</w:t>
      </w:r>
    </w:p>
    <w:p w14:paraId="205A8A3F"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In line with the Department of Education and Training’s </w:t>
      </w:r>
      <w:hyperlink r:id="rId58" w:history="1">
        <w:r w:rsidRPr="00AC49BE">
          <w:rPr>
            <w:rFonts w:ascii="VIC-Regular" w:eastAsia="Times New Roman" w:hAnsi="VIC-Regular" w:cs="Times New Roman"/>
            <w:color w:val="011A3C"/>
            <w:sz w:val="24"/>
            <w:szCs w:val="24"/>
            <w:lang w:val="en" w:eastAsia="en-AU"/>
          </w:rPr>
          <w:t>Essential Safety Measures Framework</w:t>
        </w:r>
      </w:hyperlink>
      <w:r w:rsidRPr="00AC49BE">
        <w:rPr>
          <w:rFonts w:ascii="VIC-Regular" w:eastAsia="Times New Roman" w:hAnsi="VIC-Regular" w:cs="Times New Roman"/>
          <w:color w:val="011A3C"/>
          <w:sz w:val="24"/>
          <w:szCs w:val="24"/>
          <w:lang w:val="en" w:eastAsia="en-AU"/>
        </w:rPr>
        <w:t>, schools are required to ensure Essential Safety Measures compliance which includes the inspection, testing, rectification maintenance (if required) and recordkeeping of essential safety measures.  </w:t>
      </w:r>
    </w:p>
    <w:p w14:paraId="55A9D26F" w14:textId="77CF79A8" w:rsidR="000D106B"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Adjustments to the Annual Contracts/Essential Safety Measures allocation will be made on the basis of enrolment/entitlement area or the provision of new equipment.</w:t>
      </w:r>
    </w:p>
    <w:p w14:paraId="71BB00D7" w14:textId="77777777" w:rsidR="0076693A" w:rsidRPr="00D93949" w:rsidRDefault="0076693A" w:rsidP="000D106B">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lastRenderedPageBreak/>
        <w:t>Funding allocation</w:t>
      </w:r>
    </w:p>
    <w:p w14:paraId="048ED396" w14:textId="23D3F148" w:rsidR="002C736A" w:rsidRPr="002C736A" w:rsidRDefault="002C736A" w:rsidP="002C736A">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2C736A">
        <w:rPr>
          <w:rFonts w:ascii="VIC-Regular" w:eastAsia="Times New Roman" w:hAnsi="VIC-Regular" w:cs="Times New Roman"/>
          <w:color w:val="011A3C"/>
          <w:sz w:val="24"/>
          <w:szCs w:val="24"/>
          <w:lang w:val="en" w:eastAsia="en-AU"/>
        </w:rPr>
        <w:t xml:space="preserve">•The Maintenance Blitz funding for schools announced in 2019 increased SRP funding in 2019, 2020 &amp; 2021 (with a marginal decrease) to enable schools to undertake essential works. </w:t>
      </w:r>
    </w:p>
    <w:p w14:paraId="32A40247" w14:textId="77777777" w:rsidR="002C736A" w:rsidRDefault="002C736A" w:rsidP="002C736A">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r w:rsidRPr="002C736A">
        <w:rPr>
          <w:rFonts w:ascii="VIC-Regular" w:eastAsia="Times New Roman" w:hAnsi="VIC-Regular" w:cs="Times New Roman"/>
          <w:color w:val="011A3C"/>
          <w:sz w:val="24"/>
          <w:szCs w:val="24"/>
          <w:lang w:val="en" w:eastAsia="en-AU"/>
        </w:rPr>
        <w:t>•In 2021 the ACES SRP budget will be maintained at an increased allocation to provide improved support to schools with annual contracts and essential safety measures.</w:t>
      </w:r>
    </w:p>
    <w:p w14:paraId="0ACBAA7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Annual Contracts and Essential Safety Measures SRP allocation is based on:</w:t>
      </w:r>
    </w:p>
    <w:p w14:paraId="4257FC10" w14:textId="77777777" w:rsidR="0076693A" w:rsidRPr="00AC49BE" w:rsidRDefault="0076693A" w:rsidP="00D93949">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data of what items each school has</w:t>
      </w:r>
    </w:p>
    <w:p w14:paraId="446DC150" w14:textId="77777777" w:rsidR="0076693A" w:rsidRPr="00AC49BE" w:rsidRDefault="0076693A" w:rsidP="00D93949">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size of the school, and</w:t>
      </w:r>
    </w:p>
    <w:p w14:paraId="419DE930" w14:textId="77777777" w:rsidR="0076693A" w:rsidRPr="00AC49BE" w:rsidRDefault="0076693A" w:rsidP="00D93949">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cost of the activity as per current market rates</w:t>
      </w:r>
    </w:p>
    <w:p w14:paraId="6207A915" w14:textId="6EFAC377"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Expenditure should be charged to CASES21 Account Code 86505, Grounds Work Sub Program 6050.</w:t>
      </w:r>
      <w:r>
        <w:rPr>
          <w:rFonts w:ascii="VIC-Regular" w:eastAsia="Times New Roman" w:hAnsi="VIC-Regular" w:cs="Times New Roman"/>
          <w:color w:val="011A3C"/>
          <w:sz w:val="24"/>
          <w:szCs w:val="24"/>
          <w:lang w:val="en" w:eastAsia="en-AU"/>
        </w:rPr>
        <w:t xml:space="preserve"> </w:t>
      </w:r>
      <w:r w:rsidR="00B55C31">
        <w:rPr>
          <w:rFonts w:ascii="VIC-Regular" w:eastAsia="Times New Roman" w:hAnsi="VIC-Regular" w:cs="Times New Roman"/>
          <w:color w:val="011A3C"/>
          <w:sz w:val="24"/>
          <w:szCs w:val="24"/>
          <w:lang w:val="en" w:eastAsia="en-AU"/>
        </w:rPr>
        <w:t>SRP funding for Annual Contracts and Essential Safety Measures  is  calculated at the Indicative and Confirmed cycle and may be updated at the Revised cycle, funding is allocated through cash funding.</w:t>
      </w:r>
    </w:p>
    <w:p w14:paraId="0893AA1F"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For further information, including how to acquit ESM obligations, see: </w:t>
      </w:r>
      <w:hyperlink r:id="rId59" w:history="1">
        <w:r w:rsidRPr="00AC49BE">
          <w:rPr>
            <w:rFonts w:ascii="VIC-Regular" w:eastAsia="Times New Roman" w:hAnsi="VIC-Regular" w:cs="Times New Roman"/>
            <w:color w:val="011A3C"/>
            <w:sz w:val="24"/>
            <w:szCs w:val="24"/>
            <w:lang w:val="en" w:eastAsia="en-AU"/>
          </w:rPr>
          <w:t>Essential Safety Measures policy</w:t>
        </w:r>
      </w:hyperlink>
      <w:r w:rsidRPr="00AC49BE">
        <w:rPr>
          <w:rFonts w:ascii="VIC-Regular" w:eastAsia="Times New Roman" w:hAnsi="VIC-Regular" w:cs="Times New Roman"/>
          <w:color w:val="011A3C"/>
          <w:sz w:val="24"/>
          <w:szCs w:val="24"/>
          <w:lang w:val="en" w:eastAsia="en-AU"/>
        </w:rPr>
        <w:t xml:space="preserve"> or contact </w:t>
      </w:r>
      <w:hyperlink r:id="rId60" w:history="1">
        <w:r w:rsidRPr="00AC49BE">
          <w:rPr>
            <w:rFonts w:ascii="VIC-Regular" w:eastAsia="Times New Roman" w:hAnsi="VIC-Regular" w:cs="Times New Roman"/>
            <w:color w:val="011A3C"/>
            <w:sz w:val="24"/>
            <w:szCs w:val="24"/>
            <w:lang w:val="en" w:eastAsia="en-AU"/>
          </w:rPr>
          <w:t>essential.safety.measures@edumail.vic.gov.au</w:t>
        </w:r>
      </w:hyperlink>
    </w:p>
    <w:bookmarkEnd w:id="46"/>
    <w:p w14:paraId="2FD61800" w14:textId="39DBD98E" w:rsidR="009753DC" w:rsidRDefault="009753DC">
      <w:pPr>
        <w:rPr>
          <w:rFonts w:asciiTheme="majorHAnsi" w:eastAsia="Times New Roman" w:hAnsiTheme="majorHAnsi" w:cstheme="majorBidi"/>
          <w:spacing w:val="-10"/>
          <w:kern w:val="28"/>
          <w:sz w:val="40"/>
          <w:szCs w:val="56"/>
          <w:lang w:val="en" w:eastAsia="en-AU"/>
        </w:rPr>
      </w:pPr>
      <w:r>
        <w:rPr>
          <w:rFonts w:eastAsia="Times New Roman"/>
          <w:lang w:val="en" w:eastAsia="en-AU"/>
        </w:rPr>
        <w:br w:type="page"/>
      </w:r>
    </w:p>
    <w:p w14:paraId="63399E55" w14:textId="436382C7" w:rsidR="0076693A" w:rsidRPr="00AC49BE" w:rsidRDefault="0076693A" w:rsidP="00842992">
      <w:pPr>
        <w:pStyle w:val="Heading2"/>
      </w:pPr>
      <w:bookmarkStart w:id="50" w:name="_Toc52796198"/>
      <w:r w:rsidRPr="00AC49BE">
        <w:lastRenderedPageBreak/>
        <w:t>Workers’ Compensation (Reference 37)</w:t>
      </w:r>
      <w:bookmarkEnd w:id="50"/>
    </w:p>
    <w:p w14:paraId="347BFFF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Each school’s Workers’ Compensation budget allocation has been determined by applying an averaged claim cost rate for each school type to the remuneration of each school.</w:t>
      </w:r>
    </w:p>
    <w:p w14:paraId="14168AF5" w14:textId="553AD0C6"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amount charged against a school’s Workers’ Compensation budget allocation is based on the actual incurred costs of claims that have been lodged at the school during the 20</w:t>
      </w:r>
      <w:r w:rsidR="00990116">
        <w:rPr>
          <w:rFonts w:ascii="VIC-Regular" w:eastAsia="Times New Roman" w:hAnsi="VIC-Regular" w:cs="Times New Roman"/>
          <w:color w:val="011A3C"/>
          <w:sz w:val="24"/>
          <w:szCs w:val="24"/>
          <w:lang w:val="en" w:eastAsia="en-AU"/>
        </w:rPr>
        <w:t>20</w:t>
      </w:r>
      <w:r w:rsidRPr="00AC49BE">
        <w:rPr>
          <w:rFonts w:ascii="VIC-Regular" w:eastAsia="Times New Roman" w:hAnsi="VIC-Regular" w:cs="Times New Roman"/>
          <w:color w:val="011A3C"/>
          <w:sz w:val="24"/>
          <w:szCs w:val="24"/>
          <w:lang w:val="en" w:eastAsia="en-AU"/>
        </w:rPr>
        <w:t>/202</w:t>
      </w:r>
      <w:r w:rsidR="00990116">
        <w:rPr>
          <w:rFonts w:ascii="VIC-Regular" w:eastAsia="Times New Roman" w:hAnsi="VIC-Regular" w:cs="Times New Roman"/>
          <w:color w:val="011A3C"/>
          <w:sz w:val="24"/>
          <w:szCs w:val="24"/>
          <w:lang w:val="en" w:eastAsia="en-AU"/>
        </w:rPr>
        <w:t>1</w:t>
      </w:r>
      <w:r w:rsidRPr="00AC49BE">
        <w:rPr>
          <w:rFonts w:ascii="VIC-Regular" w:eastAsia="Times New Roman" w:hAnsi="VIC-Regular" w:cs="Times New Roman"/>
          <w:color w:val="011A3C"/>
          <w:sz w:val="24"/>
          <w:szCs w:val="24"/>
          <w:lang w:val="en" w:eastAsia="en-AU"/>
        </w:rPr>
        <w:t xml:space="preserve"> Workers’ Compensation premium calculation period from 01 January 201</w:t>
      </w:r>
      <w:r w:rsidR="00990116">
        <w:rPr>
          <w:rFonts w:ascii="VIC-Regular" w:eastAsia="Times New Roman" w:hAnsi="VIC-Regular" w:cs="Times New Roman"/>
          <w:color w:val="011A3C"/>
          <w:sz w:val="24"/>
          <w:szCs w:val="24"/>
          <w:lang w:val="en" w:eastAsia="en-AU"/>
        </w:rPr>
        <w:t>7</w:t>
      </w:r>
      <w:r w:rsidRPr="00AC49BE">
        <w:rPr>
          <w:rFonts w:ascii="VIC-Regular" w:eastAsia="Times New Roman" w:hAnsi="VIC-Regular" w:cs="Times New Roman"/>
          <w:color w:val="011A3C"/>
          <w:sz w:val="24"/>
          <w:szCs w:val="24"/>
          <w:lang w:val="en" w:eastAsia="en-AU"/>
        </w:rPr>
        <w:t xml:space="preserve"> to 30 June 201</w:t>
      </w:r>
      <w:r w:rsidR="00990116">
        <w:rPr>
          <w:rFonts w:ascii="VIC-Regular" w:eastAsia="Times New Roman" w:hAnsi="VIC-Regular" w:cs="Times New Roman"/>
          <w:color w:val="011A3C"/>
          <w:sz w:val="24"/>
          <w:szCs w:val="24"/>
          <w:lang w:val="en" w:eastAsia="en-AU"/>
        </w:rPr>
        <w:t>9</w:t>
      </w:r>
      <w:r w:rsidRPr="00AC49BE">
        <w:rPr>
          <w:rFonts w:ascii="VIC-Regular" w:eastAsia="Times New Roman" w:hAnsi="VIC-Regular" w:cs="Times New Roman"/>
          <w:color w:val="011A3C"/>
          <w:sz w:val="24"/>
          <w:szCs w:val="24"/>
          <w:lang w:val="en" w:eastAsia="en-AU"/>
        </w:rPr>
        <w:t>. </w:t>
      </w:r>
    </w:p>
    <w:p w14:paraId="3FDD9AA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If the total cost of these claims is greater than a school’s Workers’ Compensation budget allocation, the school is required to pay all or part of the difference, capped at 0.5% of its remuneration up to a maximum of $25,000. </w:t>
      </w:r>
    </w:p>
    <w:p w14:paraId="338263EA" w14:textId="4C681744"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Savings capped at 0.5% of remuneration, up to a maximum of $25,000 accrue to those schools with claims costs less than their Workers’ Compensation budget allocations. Full 202</w:t>
      </w:r>
      <w:r w:rsidR="00990116">
        <w:rPr>
          <w:rFonts w:ascii="VIC-Regular" w:eastAsia="Times New Roman" w:hAnsi="VIC-Regular" w:cs="Times New Roman"/>
          <w:color w:val="011A3C"/>
          <w:sz w:val="24"/>
          <w:szCs w:val="24"/>
          <w:lang w:val="en" w:eastAsia="en-AU"/>
        </w:rPr>
        <w:t>1</w:t>
      </w:r>
      <w:r w:rsidRPr="00AC49BE">
        <w:rPr>
          <w:rFonts w:ascii="VIC-Regular" w:eastAsia="Times New Roman" w:hAnsi="VIC-Regular" w:cs="Times New Roman"/>
          <w:color w:val="011A3C"/>
          <w:sz w:val="24"/>
          <w:szCs w:val="24"/>
          <w:lang w:val="en" w:eastAsia="en-AU"/>
        </w:rPr>
        <w:t xml:space="preserve"> Workers’ Compensation budget allocations, charge out amounts and end of year balance details are in the </w:t>
      </w:r>
      <w:hyperlink r:id="rId61" w:history="1">
        <w:r w:rsidRPr="00AC49BE">
          <w:rPr>
            <w:rFonts w:ascii="VIC-Regular" w:eastAsia="Times New Roman" w:hAnsi="VIC-Regular" w:cs="Times New Roman"/>
            <w:color w:val="011A3C"/>
            <w:sz w:val="24"/>
            <w:szCs w:val="24"/>
            <w:lang w:val="en" w:eastAsia="en-AU"/>
          </w:rPr>
          <w:t>Workers’ Compensation Summary Statement</w:t>
        </w:r>
      </w:hyperlink>
      <w:r w:rsidRPr="00AC49BE">
        <w:rPr>
          <w:rFonts w:ascii="VIC-Regular" w:eastAsia="Times New Roman" w:hAnsi="VIC-Regular" w:cs="Times New Roman"/>
          <w:color w:val="011A3C"/>
          <w:sz w:val="24"/>
          <w:szCs w:val="24"/>
          <w:lang w:val="en" w:eastAsia="en-AU"/>
        </w:rPr>
        <w:t>.</w:t>
      </w:r>
    </w:p>
    <w:p w14:paraId="2C3FD5C9" w14:textId="77777777" w:rsidR="0076693A" w:rsidRPr="00D93949" w:rsidRDefault="0076693A" w:rsidP="00D93949">
      <w:pPr>
        <w:pStyle w:val="Heading3"/>
        <w:rPr>
          <w:rStyle w:val="Strong"/>
        </w:rPr>
      </w:pPr>
      <w:r w:rsidRPr="00D93949">
        <w:rPr>
          <w:rStyle w:val="Strong"/>
        </w:rPr>
        <w:t>Notes</w:t>
      </w:r>
    </w:p>
    <w:p w14:paraId="27F94854" w14:textId="77777777" w:rsidR="0076693A" w:rsidRPr="00D93949"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Exempt Category Claims</w:t>
      </w:r>
    </w:p>
    <w:p w14:paraId="21587CDC" w14:textId="505175A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51" w:name="_Hlk50298055"/>
      <w:r w:rsidRPr="00AC49BE">
        <w:rPr>
          <w:rFonts w:ascii="VIC-Regular" w:eastAsia="Times New Roman" w:hAnsi="VIC-Regular" w:cs="Times New Roman"/>
          <w:color w:val="011A3C"/>
          <w:sz w:val="24"/>
          <w:szCs w:val="24"/>
          <w:lang w:val="en" w:eastAsia="en-AU"/>
        </w:rPr>
        <w:t>The following categories of claims are eligible for exemption from the calculation of a school’s 202</w:t>
      </w:r>
      <w:r w:rsidR="00990116">
        <w:rPr>
          <w:rFonts w:ascii="VIC-Regular" w:eastAsia="Times New Roman" w:hAnsi="VIC-Regular" w:cs="Times New Roman"/>
          <w:color w:val="011A3C"/>
          <w:sz w:val="24"/>
          <w:szCs w:val="24"/>
          <w:lang w:val="en" w:eastAsia="en-AU"/>
        </w:rPr>
        <w:t>1</w:t>
      </w:r>
      <w:r w:rsidRPr="00AC49BE">
        <w:rPr>
          <w:rFonts w:ascii="VIC-Regular" w:eastAsia="Times New Roman" w:hAnsi="VIC-Regular" w:cs="Times New Roman"/>
          <w:color w:val="011A3C"/>
          <w:sz w:val="24"/>
          <w:szCs w:val="24"/>
          <w:lang w:val="en" w:eastAsia="en-AU"/>
        </w:rPr>
        <w:t xml:space="preserve"> SRP Workers’ Compensation cost:</w:t>
      </w:r>
    </w:p>
    <w:bookmarkEnd w:id="51"/>
    <w:p w14:paraId="5ABABC31"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that have injury dates prior to 1 July 2000.</w:t>
      </w:r>
    </w:p>
    <w:p w14:paraId="48D28D73"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from staff who work across a number of schools.</w:t>
      </w:r>
    </w:p>
    <w:p w14:paraId="508952F6"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accepted in error by the Department’s WorkSafe agent, Gallagher Bassett Services Pty Ltd.</w:t>
      </w:r>
    </w:p>
    <w:p w14:paraId="3F408D92"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arising from participation in the Teacher Games.</w:t>
      </w:r>
    </w:p>
    <w:p w14:paraId="2A83EA97"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Consideration will also be given to exempting schools from the costs of claims:</w:t>
      </w:r>
    </w:p>
    <w:p w14:paraId="21CB6073" w14:textId="77777777" w:rsidR="0076693A" w:rsidRPr="00AC49BE" w:rsidRDefault="0076693A" w:rsidP="00D93949">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lastRenderedPageBreak/>
        <w:t>From staff who have been the subject of compassionate transfer because of health reasons.</w:t>
      </w:r>
    </w:p>
    <w:p w14:paraId="123FDB18" w14:textId="77777777" w:rsidR="0076693A" w:rsidRPr="00AC49BE" w:rsidRDefault="0076693A" w:rsidP="00D93949">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From principals and other staff whose claims are associated with unsatisfactory performance or discipline proceedings.</w:t>
      </w:r>
    </w:p>
    <w:p w14:paraId="708D36F6" w14:textId="763F253D" w:rsidR="00116D76" w:rsidRPr="00FF25C9" w:rsidRDefault="0076693A"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Principals of schools that have claims in these categories lodged over the period from 01</w:t>
      </w:r>
      <w:r w:rsidR="00990116">
        <w:rPr>
          <w:rFonts w:ascii="VIC-Regular" w:eastAsia="Times New Roman" w:hAnsi="VIC-Regular" w:cs="Times New Roman"/>
          <w:color w:val="011A3C"/>
          <w:sz w:val="24"/>
          <w:szCs w:val="24"/>
          <w:lang w:val="en" w:eastAsia="en-AU"/>
        </w:rPr>
        <w:t xml:space="preserve"> </w:t>
      </w:r>
      <w:r w:rsidRPr="00AC49BE">
        <w:rPr>
          <w:rFonts w:ascii="VIC-Regular" w:eastAsia="Times New Roman" w:hAnsi="VIC-Regular" w:cs="Times New Roman"/>
          <w:color w:val="011A3C"/>
          <w:sz w:val="24"/>
          <w:szCs w:val="24"/>
          <w:lang w:val="en" w:eastAsia="en-AU"/>
        </w:rPr>
        <w:t>January 201</w:t>
      </w:r>
      <w:r w:rsidR="00990116">
        <w:rPr>
          <w:rFonts w:ascii="VIC-Regular" w:eastAsia="Times New Roman" w:hAnsi="VIC-Regular" w:cs="Times New Roman"/>
          <w:color w:val="011A3C"/>
          <w:sz w:val="24"/>
          <w:szCs w:val="24"/>
          <w:lang w:val="en" w:eastAsia="en-AU"/>
        </w:rPr>
        <w:t>8</w:t>
      </w:r>
      <w:r w:rsidRPr="00AC49BE">
        <w:rPr>
          <w:rFonts w:ascii="VIC-Regular" w:eastAsia="Times New Roman" w:hAnsi="VIC-Regular" w:cs="Times New Roman"/>
          <w:color w:val="011A3C"/>
          <w:sz w:val="24"/>
          <w:szCs w:val="24"/>
          <w:lang w:val="en" w:eastAsia="en-AU"/>
        </w:rPr>
        <w:t xml:space="preserve"> to 30 June 20</w:t>
      </w:r>
      <w:r w:rsidR="00990116">
        <w:rPr>
          <w:rFonts w:ascii="VIC-Regular" w:eastAsia="Times New Roman" w:hAnsi="VIC-Regular" w:cs="Times New Roman"/>
          <w:color w:val="011A3C"/>
          <w:sz w:val="24"/>
          <w:szCs w:val="24"/>
          <w:lang w:val="en" w:eastAsia="en-AU"/>
        </w:rPr>
        <w:t>20</w:t>
      </w:r>
      <w:r w:rsidRPr="00AC49BE">
        <w:rPr>
          <w:rFonts w:ascii="VIC-Regular" w:eastAsia="Times New Roman" w:hAnsi="VIC-Regular" w:cs="Times New Roman"/>
          <w:color w:val="011A3C"/>
          <w:sz w:val="24"/>
          <w:szCs w:val="24"/>
          <w:lang w:val="en" w:eastAsia="en-AU"/>
        </w:rPr>
        <w:t xml:space="preserve"> should notify the </w:t>
      </w:r>
      <w:r w:rsidR="00960A69" w:rsidRPr="00960A69">
        <w:rPr>
          <w:rFonts w:ascii="VIC-Regular" w:eastAsia="Times New Roman" w:hAnsi="VIC-Regular" w:cs="Times New Roman"/>
          <w:color w:val="011A3C"/>
          <w:sz w:val="24"/>
          <w:szCs w:val="24"/>
          <w:lang w:val="en" w:eastAsia="en-AU"/>
        </w:rPr>
        <w:t>Return to Work and Compensation team</w:t>
      </w:r>
      <w:r w:rsidRPr="00AC49BE">
        <w:rPr>
          <w:rFonts w:ascii="VIC-Regular" w:eastAsia="Times New Roman" w:hAnsi="VIC-Regular" w:cs="Times New Roman"/>
          <w:color w:val="011A3C"/>
          <w:sz w:val="24"/>
          <w:szCs w:val="24"/>
          <w:lang w:val="en" w:eastAsia="en-AU"/>
        </w:rPr>
        <w:t xml:space="preserve"> by emailing the </w:t>
      </w:r>
      <w:hyperlink r:id="rId62" w:history="1">
        <w:r w:rsidRPr="00AC49BE">
          <w:rPr>
            <w:rFonts w:ascii="VIC-Regular" w:eastAsia="Times New Roman" w:hAnsi="VIC-Regular" w:cs="Times New Roman"/>
            <w:color w:val="011A3C"/>
            <w:sz w:val="24"/>
            <w:szCs w:val="24"/>
            <w:lang w:val="en" w:eastAsia="en-AU"/>
          </w:rPr>
          <w:t xml:space="preserve">Workers’ Compensation Claims Advisory Service </w:t>
        </w:r>
      </w:hyperlink>
      <w:r w:rsidRPr="00AC49BE">
        <w:rPr>
          <w:rFonts w:ascii="VIC-Regular" w:eastAsia="Times New Roman" w:hAnsi="VIC-Regular" w:cs="Times New Roman"/>
          <w:color w:val="011A3C"/>
          <w:sz w:val="24"/>
          <w:szCs w:val="24"/>
          <w:lang w:val="en" w:eastAsia="en-AU"/>
        </w:rPr>
        <w:t xml:space="preserve">by Friday </w:t>
      </w:r>
      <w:r w:rsidR="00990116">
        <w:rPr>
          <w:rFonts w:ascii="VIC-Regular" w:eastAsia="Times New Roman" w:hAnsi="VIC-Regular" w:cs="Times New Roman"/>
          <w:color w:val="011A3C"/>
          <w:sz w:val="24"/>
          <w:szCs w:val="24"/>
          <w:lang w:val="en" w:eastAsia="en-AU"/>
        </w:rPr>
        <w:t>11</w:t>
      </w:r>
      <w:r w:rsidRPr="00AC49BE">
        <w:rPr>
          <w:rFonts w:ascii="VIC-Regular" w:eastAsia="Times New Roman" w:hAnsi="VIC-Regular" w:cs="Times New Roman"/>
          <w:color w:val="011A3C"/>
          <w:sz w:val="24"/>
          <w:szCs w:val="24"/>
          <w:lang w:val="en" w:eastAsia="en-AU"/>
        </w:rPr>
        <w:t xml:space="preserve"> December 20</w:t>
      </w:r>
      <w:r w:rsidR="00990116">
        <w:rPr>
          <w:rFonts w:ascii="VIC-Regular" w:eastAsia="Times New Roman" w:hAnsi="VIC-Regular" w:cs="Times New Roman"/>
          <w:color w:val="011A3C"/>
          <w:sz w:val="24"/>
          <w:szCs w:val="24"/>
          <w:lang w:val="en" w:eastAsia="en-AU"/>
        </w:rPr>
        <w:t>20</w:t>
      </w:r>
      <w:r w:rsidRPr="00AC49BE">
        <w:rPr>
          <w:rFonts w:ascii="VIC-Regular" w:eastAsia="Times New Roman" w:hAnsi="VIC-Regular" w:cs="Times New Roman"/>
          <w:color w:val="011A3C"/>
          <w:sz w:val="24"/>
          <w:szCs w:val="24"/>
          <w:lang w:val="en" w:eastAsia="en-AU"/>
        </w:rPr>
        <w:t xml:space="preserve">. </w:t>
      </w:r>
      <w:r w:rsidR="00D90311">
        <w:rPr>
          <w:rFonts w:ascii="VIC-Regular" w:eastAsia="Times New Roman" w:hAnsi="VIC-Regular" w:cs="Times New Roman"/>
          <w:color w:val="011A3C"/>
          <w:sz w:val="24"/>
          <w:szCs w:val="24"/>
          <w:lang w:val="en" w:eastAsia="en-AU"/>
        </w:rPr>
        <w:t>Please p</w:t>
      </w:r>
      <w:r w:rsidRPr="00AC49BE">
        <w:rPr>
          <w:rFonts w:ascii="VIC-Regular" w:eastAsia="Times New Roman" w:hAnsi="VIC-Regular" w:cs="Times New Roman"/>
          <w:color w:val="011A3C"/>
          <w:sz w:val="24"/>
          <w:szCs w:val="24"/>
          <w:lang w:val="en" w:eastAsia="en-AU"/>
        </w:rPr>
        <w:t xml:space="preserve">rovide claim/s details and a request that the school's Workers’ Compensation cost </w:t>
      </w:r>
      <w:r w:rsidR="00CC1433">
        <w:rPr>
          <w:rFonts w:ascii="VIC-Regular" w:eastAsia="Times New Roman" w:hAnsi="VIC-Regular" w:cs="Times New Roman"/>
          <w:color w:val="011A3C"/>
          <w:sz w:val="24"/>
          <w:szCs w:val="24"/>
          <w:lang w:val="en" w:eastAsia="en-AU"/>
        </w:rPr>
        <w:t xml:space="preserve">are to </w:t>
      </w:r>
      <w:r w:rsidRPr="00AC49BE">
        <w:rPr>
          <w:rFonts w:ascii="VIC-Regular" w:eastAsia="Times New Roman" w:hAnsi="VIC-Regular" w:cs="Times New Roman"/>
          <w:color w:val="011A3C"/>
          <w:sz w:val="24"/>
          <w:szCs w:val="24"/>
          <w:lang w:val="en" w:eastAsia="en-AU"/>
        </w:rPr>
        <w:t xml:space="preserve">be reviewed. The </w:t>
      </w:r>
      <w:r w:rsidR="00D90311" w:rsidRPr="00D90311">
        <w:rPr>
          <w:rFonts w:ascii="VIC-Regular" w:eastAsia="Times New Roman" w:hAnsi="VIC-Regular" w:cs="Times New Roman"/>
          <w:color w:val="011A3C"/>
          <w:sz w:val="24"/>
          <w:szCs w:val="24"/>
          <w:lang w:val="en" w:eastAsia="en-AU"/>
        </w:rPr>
        <w:t>Return to Work and Compensation team</w:t>
      </w:r>
      <w:r w:rsidRPr="00AC49BE">
        <w:rPr>
          <w:rFonts w:ascii="VIC-Regular" w:eastAsia="Times New Roman" w:hAnsi="VIC-Regular" w:cs="Times New Roman"/>
          <w:color w:val="011A3C"/>
          <w:sz w:val="24"/>
          <w:szCs w:val="24"/>
          <w:lang w:val="en" w:eastAsia="en-AU"/>
        </w:rPr>
        <w:t xml:space="preserve"> will advise schools of the results of these reviews.</w:t>
      </w:r>
    </w:p>
    <w:p w14:paraId="74825CC5" w14:textId="77777777" w:rsidR="00116D76" w:rsidRDefault="00116D76" w:rsidP="00116D76">
      <w:r>
        <w:br w:type="page"/>
      </w:r>
    </w:p>
    <w:p w14:paraId="0040CC87" w14:textId="77777777" w:rsidR="00C53D64" w:rsidRPr="00D93949" w:rsidRDefault="00C53D64" w:rsidP="00B449D7">
      <w:pPr>
        <w:pStyle w:val="Heading1"/>
      </w:pPr>
      <w:bookmarkStart w:id="52" w:name="_Toc52796199"/>
      <w:r w:rsidRPr="00D93949">
        <w:lastRenderedPageBreak/>
        <w:t xml:space="preserve">Student Resource Package </w:t>
      </w:r>
      <w:r w:rsidRPr="00D93949">
        <w:rPr>
          <w:rFonts w:hint="eastAsia"/>
        </w:rPr>
        <w:t>—</w:t>
      </w:r>
      <w:r w:rsidRPr="00D93949">
        <w:t xml:space="preserve"> School Specific Programs</w:t>
      </w:r>
      <w:bookmarkEnd w:id="52"/>
    </w:p>
    <w:p w14:paraId="4D52C7F3" w14:textId="77777777" w:rsidR="00C53D64" w:rsidRPr="00144B23" w:rsidRDefault="00C53D64" w:rsidP="00144B23">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144B23">
        <w:rPr>
          <w:rFonts w:ascii="VIC-Bold" w:eastAsia="Times New Roman" w:hAnsi="VIC-Bold" w:cs="Times New Roman"/>
          <w:color w:val="323E4F" w:themeColor="text2" w:themeShade="BF"/>
          <w:sz w:val="36"/>
          <w:szCs w:val="36"/>
          <w:lang w:val="en" w:eastAsia="en-AU"/>
        </w:rPr>
        <w:t>Policy</w:t>
      </w:r>
    </w:p>
    <w:p w14:paraId="7BCDA18C"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school specific programs.</w:t>
      </w:r>
    </w:p>
    <w:p w14:paraId="1ABB63C2" w14:textId="77777777" w:rsidR="00C53D64" w:rsidRPr="00144B23" w:rsidRDefault="00C53D64" w:rsidP="00144B23">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144B23">
        <w:rPr>
          <w:rFonts w:ascii="VIC-Bold" w:eastAsia="Times New Roman" w:hAnsi="VIC-Bold" w:cs="Times New Roman"/>
          <w:color w:val="323E4F" w:themeColor="text2" w:themeShade="BF"/>
          <w:sz w:val="36"/>
          <w:szCs w:val="36"/>
          <w:lang w:val="en" w:eastAsia="en-AU"/>
        </w:rPr>
        <w:t>Details</w:t>
      </w:r>
    </w:p>
    <w:p w14:paraId="21EED289"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‘School-based funding’ is one of three categories of funding provided for by the Student Resource Package (SRP). Funding for </w:t>
      </w:r>
      <w:r w:rsidRPr="00803A89">
        <w:rPr>
          <w:rFonts w:ascii="VIC-Regular" w:hAnsi="VIC-Regular"/>
          <w:color w:val="011A3C"/>
          <w:lang w:val="en"/>
        </w:rPr>
        <w:t>‘school specific programs’ is</w:t>
      </w:r>
      <w:r>
        <w:rPr>
          <w:rFonts w:ascii="VIC-Regular" w:hAnsi="VIC-Regular"/>
          <w:color w:val="011A3C"/>
          <w:lang w:val="en"/>
        </w:rPr>
        <w:t xml:space="preserve"> one type of school-based funding provided to schools. The other type of school-based funding is </w:t>
      </w:r>
      <w:hyperlink r:id="rId63" w:history="1">
        <w:r>
          <w:rPr>
            <w:rStyle w:val="rpl-text-label2"/>
            <w:rFonts w:ascii="VIC-Regular" w:hAnsi="VIC-Regular"/>
            <w:lang w:val="en"/>
          </w:rPr>
          <w:t>Funding for School Infrastructure</w:t>
        </w:r>
      </w:hyperlink>
      <w:r>
        <w:rPr>
          <w:rFonts w:ascii="VIC-Regular" w:hAnsi="VIC-Regular"/>
          <w:color w:val="011A3C"/>
          <w:lang w:val="en"/>
        </w:rPr>
        <w:t>.</w:t>
      </w:r>
    </w:p>
    <w:p w14:paraId="620F8911"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School-based funding provides for school infrastructure and programs specific to individual schools.</w:t>
      </w:r>
    </w:p>
    <w:p w14:paraId="090A2CF7" w14:textId="2DB75F19" w:rsidR="00C53D64" w:rsidRDefault="00C53D64" w:rsidP="00C53D64">
      <w:pPr>
        <w:pStyle w:val="NormalWeb"/>
        <w:spacing w:line="360" w:lineRule="atLeast"/>
        <w:rPr>
          <w:rFonts w:ascii="VIC-Regular" w:hAnsi="VIC-Regular"/>
          <w:color w:val="011A3C"/>
          <w:lang w:val="en"/>
        </w:rPr>
      </w:pPr>
      <w:r w:rsidRPr="00B81AAF">
        <w:rPr>
          <w:rFonts w:ascii="VIC-Regular" w:hAnsi="VIC-Regular"/>
          <w:color w:val="011A3C"/>
          <w:lang w:val="en"/>
        </w:rPr>
        <w:t xml:space="preserve">The </w:t>
      </w:r>
      <w:r w:rsidR="00735FF8" w:rsidRPr="00B81AAF">
        <w:rPr>
          <w:rFonts w:ascii="VIC-Regular" w:hAnsi="VIC-Regular"/>
          <w:color w:val="011A3C"/>
          <w:lang w:val="en"/>
        </w:rPr>
        <w:t>School Specific section</w:t>
      </w:r>
      <w:r w:rsidR="00735FF8" w:rsidRPr="006A6A87">
        <w:rPr>
          <w:rFonts w:ascii="VIC-Regular" w:hAnsi="VIC-Regular"/>
          <w:color w:val="011A3C"/>
          <w:lang w:val="en"/>
        </w:rPr>
        <w:t xml:space="preserve"> provides</w:t>
      </w:r>
      <w:r>
        <w:rPr>
          <w:rFonts w:ascii="VIC-Regular" w:hAnsi="VIC-Regular"/>
          <w:color w:val="011A3C"/>
          <w:lang w:val="en"/>
        </w:rPr>
        <w:t xml:space="preserve"> information about each of the following types of funding for school-specific programs:</w:t>
      </w:r>
    </w:p>
    <w:p w14:paraId="666BC6C3"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64" w:history="1">
        <w:r w:rsidR="00C53D64">
          <w:rPr>
            <w:rStyle w:val="rpl-text-label2"/>
            <w:rFonts w:ascii="VIC-Regular" w:hAnsi="VIC-Regular"/>
            <w:lang w:val="en"/>
          </w:rPr>
          <w:t>P12 Complexity Allowance</w:t>
        </w:r>
      </w:hyperlink>
    </w:p>
    <w:p w14:paraId="4FB5082C"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65" w:history="1">
        <w:r w:rsidR="00C53D64">
          <w:rPr>
            <w:rStyle w:val="rpl-text-label2"/>
            <w:rFonts w:ascii="VIC-Regular" w:hAnsi="VIC-Regular"/>
            <w:lang w:val="en"/>
          </w:rPr>
          <w:t>Location Index funding</w:t>
        </w:r>
      </w:hyperlink>
    </w:p>
    <w:p w14:paraId="6F0757F3"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66" w:history="1">
        <w:r w:rsidR="00C53D64">
          <w:rPr>
            <w:rStyle w:val="rpl-text-label2"/>
            <w:rFonts w:ascii="VIC-Regular" w:hAnsi="VIC-Regular"/>
            <w:lang w:val="en"/>
          </w:rPr>
          <w:t>MARC/MACC Teachers, Science and Technology, School Restructure</w:t>
        </w:r>
      </w:hyperlink>
    </w:p>
    <w:p w14:paraId="07C5E890"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67" w:history="1">
        <w:r w:rsidR="00C53D64">
          <w:rPr>
            <w:rStyle w:val="rpl-text-label2"/>
            <w:rFonts w:ascii="VIC-Regular" w:hAnsi="VIC-Regular"/>
            <w:lang w:val="en"/>
          </w:rPr>
          <w:t>Instrumental Music Programs</w:t>
        </w:r>
      </w:hyperlink>
    </w:p>
    <w:p w14:paraId="4E778359"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68" w:history="1">
        <w:r w:rsidR="00C53D64">
          <w:rPr>
            <w:rStyle w:val="rpl-text-label2"/>
            <w:rFonts w:ascii="VIC-Regular" w:hAnsi="VIC-Regular"/>
            <w:lang w:val="en"/>
          </w:rPr>
          <w:t>Language assistants</w:t>
        </w:r>
      </w:hyperlink>
    </w:p>
    <w:p w14:paraId="59F6DF86"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69" w:history="1">
        <w:r w:rsidR="00C53D64">
          <w:rPr>
            <w:rStyle w:val="rpl-text-label2"/>
            <w:rFonts w:ascii="VIC-Regular" w:hAnsi="VIC-Regular"/>
            <w:lang w:val="en"/>
          </w:rPr>
          <w:t>Bus coordination</w:t>
        </w:r>
      </w:hyperlink>
    </w:p>
    <w:p w14:paraId="6EE9EA9F"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70" w:history="1">
        <w:r w:rsidR="00C53D64">
          <w:rPr>
            <w:rStyle w:val="rpl-text-label2"/>
            <w:rFonts w:ascii="VIC-Regular" w:hAnsi="VIC-Regular"/>
            <w:lang w:val="en"/>
          </w:rPr>
          <w:t>Country Area Program Grant</w:t>
        </w:r>
      </w:hyperlink>
    </w:p>
    <w:p w14:paraId="1EDAD8E3"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71" w:history="1">
        <w:r w:rsidR="00C53D64">
          <w:rPr>
            <w:rStyle w:val="rpl-text-label2"/>
            <w:rFonts w:ascii="VIC-Regular" w:hAnsi="VIC-Regular"/>
            <w:lang w:val="en"/>
          </w:rPr>
          <w:t>MARC/MACC Grant</w:t>
        </w:r>
      </w:hyperlink>
    </w:p>
    <w:p w14:paraId="4CBF5182"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72" w:history="1">
        <w:r w:rsidR="00C53D64">
          <w:rPr>
            <w:rStyle w:val="rpl-text-label2"/>
            <w:rFonts w:ascii="VIC-Regular" w:hAnsi="VIC-Regular"/>
            <w:lang w:val="en"/>
          </w:rPr>
          <w:t>Alternative Settings Teachers</w:t>
        </w:r>
      </w:hyperlink>
    </w:p>
    <w:p w14:paraId="62A6C848" w14:textId="77777777" w:rsidR="00C53D64" w:rsidRDefault="007E3659" w:rsidP="00B55C31">
      <w:pPr>
        <w:numPr>
          <w:ilvl w:val="0"/>
          <w:numId w:val="159"/>
        </w:numPr>
        <w:spacing w:before="100" w:beforeAutospacing="1" w:after="100" w:afterAutospacing="1" w:line="360" w:lineRule="atLeast"/>
        <w:rPr>
          <w:rFonts w:ascii="VIC-Regular" w:hAnsi="VIC-Regular"/>
          <w:color w:val="011A3C"/>
          <w:lang w:val="en"/>
        </w:rPr>
      </w:pPr>
      <w:hyperlink r:id="rId73" w:history="1">
        <w:r w:rsidR="00C53D64">
          <w:rPr>
            <w:rStyle w:val="rpl-text-label2"/>
            <w:rFonts w:ascii="VIC-Regular" w:hAnsi="VIC-Regular"/>
            <w:lang w:val="en"/>
          </w:rPr>
          <w:t>Ancillary Settings Teachers</w:t>
        </w:r>
      </w:hyperlink>
    </w:p>
    <w:p w14:paraId="335E6D1D" w14:textId="50F6D298" w:rsidR="00C53D64" w:rsidRDefault="007E3659" w:rsidP="00B55C31">
      <w:pPr>
        <w:numPr>
          <w:ilvl w:val="0"/>
          <w:numId w:val="159"/>
        </w:numPr>
        <w:spacing w:before="100" w:beforeAutospacing="1" w:after="100" w:afterAutospacing="1" w:line="360" w:lineRule="atLeast"/>
        <w:rPr>
          <w:rStyle w:val="rpl-text-label2"/>
          <w:rFonts w:ascii="VIC-Regular" w:hAnsi="VIC-Regular"/>
          <w:lang w:val="en"/>
        </w:rPr>
      </w:pPr>
      <w:hyperlink r:id="rId74" w:history="1">
        <w:r w:rsidR="00C53D64">
          <w:rPr>
            <w:rStyle w:val="rpl-text-label2"/>
            <w:rFonts w:ascii="VIC-Regular" w:hAnsi="VIC-Regular"/>
            <w:lang w:val="en"/>
          </w:rPr>
          <w:t>Alternative programs — regional grants</w:t>
        </w:r>
      </w:hyperlink>
    </w:p>
    <w:p w14:paraId="27F9FFAA" w14:textId="62644FAE" w:rsidR="008C0D71" w:rsidRDefault="008C0D71" w:rsidP="00B55C31">
      <w:pPr>
        <w:numPr>
          <w:ilvl w:val="0"/>
          <w:numId w:val="159"/>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Joint Community Program</w:t>
      </w:r>
    </w:p>
    <w:p w14:paraId="488CCE25" w14:textId="775B0530"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Not all types of funding are available to all schools. Funding is assessed according to school and student need.</w:t>
      </w:r>
      <w:r w:rsidR="00DB1ECE">
        <w:rPr>
          <w:rFonts w:ascii="VIC-Regular" w:hAnsi="VIC-Regular"/>
          <w:color w:val="011A3C"/>
          <w:lang w:val="en"/>
        </w:rPr>
        <w:t xml:space="preserve"> The majority of items allocated </w:t>
      </w:r>
      <w:r w:rsidR="001A4359">
        <w:rPr>
          <w:rFonts w:ascii="VIC-Regular" w:hAnsi="VIC-Regular"/>
          <w:color w:val="011A3C"/>
          <w:lang w:val="en"/>
        </w:rPr>
        <w:t>are based on regional office advice.</w:t>
      </w:r>
    </w:p>
    <w:p w14:paraId="5CCD4EC3"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lastRenderedPageBreak/>
        <w:t>Schools are expected to use SRP funds for the purpose for which it was allocated.</w:t>
      </w:r>
    </w:p>
    <w:p w14:paraId="12E5D9D0" w14:textId="1BE5E6BE" w:rsidR="009753DC" w:rsidRPr="00D53AEB" w:rsidRDefault="009753DC" w:rsidP="00842992">
      <w:pPr>
        <w:pStyle w:val="Heading2"/>
      </w:pPr>
      <w:bookmarkStart w:id="53" w:name="_Toc52796200"/>
      <w:r w:rsidRPr="00D53AEB">
        <w:t>P-12 Complexity Allowance (Reference 38)</w:t>
      </w:r>
      <w:bookmarkEnd w:id="53"/>
    </w:p>
    <w:p w14:paraId="16E1B970"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Approved P-12 colleges (with a full cohort) receive an Administration Complexity Allowance, which recognises the additional complexity involved in managing a P-12 setting. The allowance, which is based on the Principal Classification Budget (PCB), is allocated as credit. The P-12 Complexity Allowance is not included for the purpose of determining the PCB.</w:t>
      </w:r>
    </w:p>
    <w:p w14:paraId="49E62F67" w14:textId="77777777" w:rsidR="00735FF8" w:rsidRPr="0082626F" w:rsidRDefault="00735FF8" w:rsidP="00735F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1EB55511" w14:textId="77777777" w:rsidR="00735FF8" w:rsidRPr="005727F1"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5B95">
        <w:rPr>
          <w:rFonts w:ascii="VIC-Regular" w:eastAsia="Times New Roman" w:hAnsi="VIC-Regular" w:cs="Times New Roman"/>
          <w:color w:val="011A3C"/>
          <w:sz w:val="24"/>
          <w:szCs w:val="24"/>
          <w:lang w:val="en" w:eastAsia="en-AU"/>
        </w:rPr>
        <w:t xml:space="preserve">Schools with the following </w:t>
      </w:r>
      <w:r>
        <w:rPr>
          <w:rFonts w:ascii="VIC-Regular" w:eastAsia="Times New Roman" w:hAnsi="VIC-Regular" w:cs="Times New Roman"/>
          <w:color w:val="011A3C"/>
          <w:sz w:val="24"/>
          <w:szCs w:val="24"/>
          <w:lang w:val="en" w:eastAsia="en-AU"/>
        </w:rPr>
        <w:t>school</w:t>
      </w:r>
      <w:r w:rsidRPr="00E95B95">
        <w:rPr>
          <w:rFonts w:ascii="VIC-Regular" w:eastAsia="Times New Roman" w:hAnsi="VIC-Regular" w:cs="Times New Roman"/>
          <w:color w:val="011A3C"/>
          <w:sz w:val="24"/>
          <w:szCs w:val="24"/>
          <w:lang w:val="en" w:eastAsia="en-AU"/>
        </w:rPr>
        <w:t xml:space="preserve"> types are eligible for</w:t>
      </w:r>
      <w:r>
        <w:rPr>
          <w:rFonts w:ascii="VIC-Regular" w:eastAsia="Times New Roman" w:hAnsi="VIC-Regular" w:cs="Times New Roman"/>
          <w:color w:val="011A3C"/>
          <w:sz w:val="24"/>
          <w:szCs w:val="24"/>
          <w:lang w:val="en" w:eastAsia="en-AU"/>
        </w:rPr>
        <w:t xml:space="preserve"> </w:t>
      </w:r>
      <w:r w:rsidRPr="004A15F9">
        <w:rPr>
          <w:rFonts w:ascii="VIC-Regular" w:eastAsia="Times New Roman" w:hAnsi="VIC-Regular" w:cs="Arial"/>
          <w:color w:val="011A3C"/>
          <w:sz w:val="24"/>
          <w:szCs w:val="24"/>
          <w:lang w:val="en" w:eastAsia="en-AU"/>
        </w:rPr>
        <w:t xml:space="preserve">P-12 Complexity </w:t>
      </w:r>
      <w:r>
        <w:rPr>
          <w:rFonts w:ascii="VIC-Regular" w:eastAsia="Times New Roman" w:hAnsi="VIC-Regular" w:cs="Times New Roman"/>
          <w:color w:val="011A3C"/>
          <w:sz w:val="24"/>
          <w:szCs w:val="24"/>
          <w:lang w:val="en" w:eastAsia="en-AU"/>
        </w:rPr>
        <w:t>funding at school level:</w:t>
      </w:r>
    </w:p>
    <w:p w14:paraId="2D8D2E11" w14:textId="77777777" w:rsidR="00735FF8"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Primary/secondary combined</w:t>
      </w:r>
    </w:p>
    <w:p w14:paraId="1C2D0131" w14:textId="77777777" w:rsidR="00735FF8" w:rsidRPr="005727F1"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2DB2BC90" w14:textId="350DF25E" w:rsidR="00735FF8" w:rsidRPr="00FF25C9" w:rsidRDefault="00735FF8"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 xml:space="preserve">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5AC0826F" w14:textId="414C0014"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1A4359">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8"/>
        <w:gridCol w:w="4458"/>
      </w:tblGrid>
      <w:tr w:rsidR="009753DC" w:rsidRPr="00D53AEB" w14:paraId="369B9A05" w14:textId="77777777" w:rsidTr="00D93949">
        <w:trPr>
          <w:tblHeader/>
        </w:trPr>
        <w:tc>
          <w:tcPr>
            <w:tcW w:w="0" w:type="auto"/>
            <w:hideMark/>
          </w:tcPr>
          <w:p w14:paraId="2658D244"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Administration Complexity Allowance ($)</w:t>
            </w:r>
          </w:p>
        </w:tc>
        <w:tc>
          <w:tcPr>
            <w:tcW w:w="0" w:type="auto"/>
            <w:hideMark/>
          </w:tcPr>
          <w:p w14:paraId="388738D2"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Principal Classification Budget (PCB) ($)</w:t>
            </w:r>
          </w:p>
        </w:tc>
      </w:tr>
      <w:tr w:rsidR="009753DC" w:rsidRPr="00D53AEB" w14:paraId="043CFAA7" w14:textId="77777777" w:rsidTr="00D93949">
        <w:tc>
          <w:tcPr>
            <w:tcW w:w="0" w:type="auto"/>
            <w:hideMark/>
          </w:tcPr>
          <w:p w14:paraId="0A708178" w14:textId="1BABD702"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28,839</w:t>
            </w:r>
          </w:p>
        </w:tc>
        <w:tc>
          <w:tcPr>
            <w:tcW w:w="0" w:type="auto"/>
            <w:hideMark/>
          </w:tcPr>
          <w:p w14:paraId="19238F4B"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&lt;1,553,113</w:t>
            </w:r>
          </w:p>
        </w:tc>
      </w:tr>
      <w:tr w:rsidR="009753DC" w:rsidRPr="00D53AEB" w14:paraId="4BF91442" w14:textId="77777777" w:rsidTr="00D93949">
        <w:tc>
          <w:tcPr>
            <w:tcW w:w="0" w:type="auto"/>
            <w:hideMark/>
          </w:tcPr>
          <w:p w14:paraId="32689A4E" w14:textId="2A64361A"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57,666</w:t>
            </w:r>
          </w:p>
        </w:tc>
        <w:tc>
          <w:tcPr>
            <w:tcW w:w="0" w:type="auto"/>
            <w:hideMark/>
          </w:tcPr>
          <w:p w14:paraId="71F480AB" w14:textId="617C5D22"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1,553,11</w:t>
            </w:r>
            <w:r w:rsidR="00543B08" w:rsidRPr="00371B75">
              <w:rPr>
                <w:rFonts w:ascii="VIC-Regular" w:eastAsia="Times New Roman" w:hAnsi="VIC-Regular" w:cs="Times New Roman"/>
                <w:color w:val="323E4F" w:themeColor="text2" w:themeShade="BF"/>
                <w:sz w:val="24"/>
                <w:szCs w:val="24"/>
                <w:lang w:eastAsia="en-AU"/>
              </w:rPr>
              <w:t>4</w:t>
            </w:r>
            <w:r w:rsidRPr="00371B75">
              <w:rPr>
                <w:rFonts w:ascii="VIC-Regular" w:eastAsia="Times New Roman" w:hAnsi="VIC-Regular" w:cs="Times New Roman"/>
                <w:color w:val="323E4F" w:themeColor="text2" w:themeShade="BF"/>
                <w:sz w:val="24"/>
                <w:szCs w:val="24"/>
                <w:lang w:eastAsia="en-AU"/>
              </w:rPr>
              <w:t xml:space="preserve"> to ​3,623,933</w:t>
            </w:r>
          </w:p>
        </w:tc>
      </w:tr>
      <w:tr w:rsidR="009753DC" w:rsidRPr="00D53AEB" w14:paraId="4543185B" w14:textId="77777777" w:rsidTr="00D93949">
        <w:tc>
          <w:tcPr>
            <w:tcW w:w="0" w:type="auto"/>
            <w:hideMark/>
          </w:tcPr>
          <w:p w14:paraId="2D8B16CC" w14:textId="7B0DCB72"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86,495</w:t>
            </w:r>
          </w:p>
        </w:tc>
        <w:tc>
          <w:tcPr>
            <w:tcW w:w="0" w:type="auto"/>
            <w:hideMark/>
          </w:tcPr>
          <w:p w14:paraId="4BF65C63" w14:textId="5B42DC68"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3,623,93</w:t>
            </w:r>
            <w:r w:rsidR="00543B08" w:rsidRPr="00371B75">
              <w:rPr>
                <w:rFonts w:ascii="VIC-Regular" w:eastAsia="Times New Roman" w:hAnsi="VIC-Regular" w:cs="Times New Roman"/>
                <w:color w:val="323E4F" w:themeColor="text2" w:themeShade="BF"/>
                <w:sz w:val="24"/>
                <w:szCs w:val="24"/>
                <w:lang w:eastAsia="en-AU"/>
              </w:rPr>
              <w:t>4</w:t>
            </w:r>
            <w:r w:rsidRPr="00371B75">
              <w:rPr>
                <w:rFonts w:ascii="VIC-Regular" w:eastAsia="Times New Roman" w:hAnsi="VIC-Regular" w:cs="Times New Roman"/>
                <w:color w:val="323E4F" w:themeColor="text2" w:themeShade="BF"/>
                <w:sz w:val="24"/>
                <w:szCs w:val="24"/>
                <w:lang w:eastAsia="en-AU"/>
              </w:rPr>
              <w:t xml:space="preserve"> to ​9,020,002</w:t>
            </w:r>
          </w:p>
        </w:tc>
      </w:tr>
      <w:tr w:rsidR="009753DC" w:rsidRPr="00D53AEB" w14:paraId="19494D4D" w14:textId="77777777" w:rsidTr="00D93949">
        <w:tc>
          <w:tcPr>
            <w:tcW w:w="0" w:type="auto"/>
            <w:hideMark/>
          </w:tcPr>
          <w:p w14:paraId="3A0A4575" w14:textId="2F0E75B2" w:rsidR="009753DC" w:rsidRPr="00371B75" w:rsidRDefault="001A4359"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115,335</w:t>
            </w:r>
          </w:p>
        </w:tc>
        <w:tc>
          <w:tcPr>
            <w:tcW w:w="0" w:type="auto"/>
            <w:hideMark/>
          </w:tcPr>
          <w:p w14:paraId="371770A5"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&gt;9,020,002</w:t>
            </w:r>
          </w:p>
        </w:tc>
      </w:tr>
    </w:tbl>
    <w:p w14:paraId="768BF504" w14:textId="7317DA36" w:rsidR="009753DC" w:rsidRPr="00FF25C9" w:rsidRDefault="009753DC"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b/>
          <w:bCs/>
          <w:color w:val="011A3C"/>
          <w:sz w:val="24"/>
          <w:szCs w:val="24"/>
          <w:lang w:val="en" w:eastAsia="en-AU"/>
        </w:rPr>
        <w:t>Note: </w:t>
      </w:r>
      <w:r w:rsidRPr="00D53AEB">
        <w:rPr>
          <w:rFonts w:ascii="VIC-Regular" w:eastAsia="Times New Roman" w:hAnsi="VIC-Regular" w:cs="Times New Roman"/>
          <w:color w:val="011A3C"/>
          <w:sz w:val="24"/>
          <w:szCs w:val="24"/>
          <w:lang w:val="en" w:eastAsia="en-AU"/>
        </w:rPr>
        <w:t xml:space="preserve">PCB ranges for allocating this allowance will be done during the confirmed and revised budget cycles. PCB Ranges are outlined at </w:t>
      </w:r>
      <w:hyperlink r:id="rId75" w:history="1">
        <w:r w:rsidRPr="00D53AEB">
          <w:rPr>
            <w:rFonts w:ascii="VIC-Regular" w:eastAsia="Times New Roman" w:hAnsi="VIC-Regular" w:cs="Times New Roman"/>
            <w:color w:val="011A3C"/>
            <w:sz w:val="24"/>
            <w:szCs w:val="24"/>
            <w:lang w:val="en" w:eastAsia="en-AU"/>
          </w:rPr>
          <w:t>Career Structure — Teaching Service</w:t>
        </w:r>
      </w:hyperlink>
      <w:r w:rsidRPr="00D53AEB">
        <w:rPr>
          <w:rFonts w:ascii="VIC-Regular" w:eastAsia="Times New Roman" w:hAnsi="VIC-Regular" w:cs="Times New Roman"/>
          <w:color w:val="011A3C"/>
          <w:sz w:val="24"/>
          <w:szCs w:val="24"/>
          <w:lang w:val="en" w:eastAsia="en-AU"/>
        </w:rPr>
        <w:t>.</w:t>
      </w:r>
    </w:p>
    <w:p w14:paraId="72439841" w14:textId="77777777" w:rsidR="009753DC" w:rsidRDefault="009753DC" w:rsidP="009753DC">
      <w:r>
        <w:br w:type="page"/>
      </w:r>
    </w:p>
    <w:p w14:paraId="2634F4EB" w14:textId="77777777" w:rsidR="009753DC" w:rsidRPr="00D53AEB" w:rsidRDefault="009753DC" w:rsidP="00842992">
      <w:pPr>
        <w:pStyle w:val="Heading2"/>
      </w:pPr>
      <w:bookmarkStart w:id="54" w:name="_Toc52796201"/>
      <w:r w:rsidRPr="00D53AEB">
        <w:lastRenderedPageBreak/>
        <w:t>Location Index funding (Reference 39)</w:t>
      </w:r>
      <w:bookmarkEnd w:id="54"/>
    </w:p>
    <w:p w14:paraId="65C30E9A" w14:textId="77777777" w:rsidR="003B4C36" w:rsidRPr="003B4C36" w:rsidRDefault="003B4C36" w:rsidP="003B4C36">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B4C36">
        <w:rPr>
          <w:rFonts w:ascii="VIC-Regular" w:eastAsia="Times New Roman" w:hAnsi="VIC-Regular" w:cs="Times New Roman"/>
          <w:color w:val="011A3C"/>
          <w:sz w:val="24"/>
          <w:szCs w:val="24"/>
          <w:lang w:val="en" w:eastAsia="en-AU"/>
        </w:rPr>
        <w:t>The purpose of this funding line is to offset the costs of non-teaching services in rural schools by supplementing the added costs that rural schools incur for goods and services associated with freight and communications.</w:t>
      </w:r>
    </w:p>
    <w:p w14:paraId="23DB21DA" w14:textId="77777777" w:rsidR="00A12061" w:rsidRDefault="003B4C36" w:rsidP="00735FF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3B4C36">
        <w:rPr>
          <w:rFonts w:ascii="VIC-Regular" w:eastAsia="Times New Roman" w:hAnsi="VIC-Regular" w:cs="Times New Roman"/>
          <w:color w:val="011A3C"/>
          <w:sz w:val="24"/>
          <w:szCs w:val="24"/>
          <w:lang w:val="en" w:eastAsia="en-AU"/>
        </w:rPr>
        <w:t>Funding is provided to schools with campuses meeting the eligibility criteria. Allocations comprise a base component and a per student component, which varies based on the campus’ Location Index.</w:t>
      </w:r>
    </w:p>
    <w:p w14:paraId="3548090E" w14:textId="239846A6" w:rsidR="00735FF8" w:rsidRPr="0082626F" w:rsidRDefault="00735FF8" w:rsidP="00735F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745A2611"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 xml:space="preserve">Campuses of the following type and location are eligible for LIF funding: </w:t>
      </w:r>
    </w:p>
    <w:p w14:paraId="5FECD13B" w14:textId="0EDDAA34" w:rsidR="00735FF8" w:rsidRDefault="006A37EC" w:rsidP="00735FF8">
      <w:pPr>
        <w:pStyle w:val="ListParagraph"/>
        <w:numPr>
          <w:ilvl w:val="0"/>
          <w:numId w:val="74"/>
        </w:numPr>
        <w:rPr>
          <w:lang w:val="en-US"/>
        </w:rPr>
      </w:pPr>
      <w:r w:rsidRPr="006A37EC">
        <w:rPr>
          <w:rFonts w:ascii="VIC-Regular" w:eastAsia="Times New Roman" w:hAnsi="VIC-Regular" w:cs="Times New Roman"/>
          <w:color w:val="011A3C"/>
          <w:sz w:val="24"/>
          <w:szCs w:val="24"/>
          <w:lang w:val="en" w:eastAsia="en-AU"/>
        </w:rPr>
        <w:t>Campus type:</w:t>
      </w:r>
      <w:r w:rsidR="00735FF8" w:rsidRPr="005727F1">
        <w:rPr>
          <w:rFonts w:ascii="VIC-Regular" w:eastAsia="Times New Roman" w:hAnsi="VIC-Regular" w:cs="Times New Roman"/>
          <w:color w:val="011A3C"/>
          <w:sz w:val="24"/>
          <w:szCs w:val="24"/>
          <w:lang w:val="en" w:eastAsia="en-AU"/>
        </w:rPr>
        <w:t>Primary</w:t>
      </w:r>
    </w:p>
    <w:p w14:paraId="1B239C67" w14:textId="77777777" w:rsidR="00735FF8" w:rsidRPr="005727F1"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Secondary</w:t>
      </w:r>
    </w:p>
    <w:p w14:paraId="4FAEA2DC" w14:textId="77777777" w:rsidR="006A37EC" w:rsidRPr="006A37EC" w:rsidRDefault="006A37EC" w:rsidP="006A37EC">
      <w:pPr>
        <w:pStyle w:val="ListParagraph"/>
        <w:numPr>
          <w:ilvl w:val="0"/>
          <w:numId w:val="74"/>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Primary/Secondary Combined</w:t>
      </w:r>
    </w:p>
    <w:p w14:paraId="1FFF2892" w14:textId="77777777" w:rsidR="00735FF8"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1AC42DE7" w14:textId="01F1E635" w:rsidR="00735FF8"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Camp</w:t>
      </w:r>
    </w:p>
    <w:p w14:paraId="38192492" w14:textId="26E1F210" w:rsidR="00436054" w:rsidRPr="005727F1" w:rsidRDefault="00436054"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Deaf</w:t>
      </w:r>
    </w:p>
    <w:p w14:paraId="36347E05" w14:textId="77777777" w:rsidR="006A37EC" w:rsidRPr="00141B7F" w:rsidRDefault="006A37EC" w:rsidP="00141B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141B7F">
        <w:rPr>
          <w:rFonts w:ascii="VIC-Bold" w:eastAsia="Times New Roman" w:hAnsi="VIC-Bold" w:cs="Times New Roman"/>
          <w:b/>
          <w:bCs/>
          <w:color w:val="011A3C"/>
          <w:sz w:val="27"/>
          <w:szCs w:val="27"/>
          <w:lang w:val="en" w:eastAsia="en-AU"/>
        </w:rPr>
        <w:t>Location</w:t>
      </w:r>
    </w:p>
    <w:p w14:paraId="43D7B7BA" w14:textId="77777777" w:rsidR="00141B7F" w:rsidRPr="00141B7F" w:rsidRDefault="006A37EC" w:rsidP="00141B7F">
      <w:pPr>
        <w:pStyle w:val="ListParagraph"/>
        <w:numPr>
          <w:ilvl w:val="0"/>
          <w:numId w:val="2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41B7F">
        <w:rPr>
          <w:rFonts w:ascii="VIC-Regular" w:eastAsia="Times New Roman" w:hAnsi="VIC-Regular" w:cs="Times New Roman"/>
          <w:color w:val="011A3C"/>
          <w:sz w:val="24"/>
          <w:szCs w:val="24"/>
          <w:lang w:val="en" w:eastAsia="en-AU"/>
        </w:rPr>
        <w:t>outside the ‘Major Cities of Australia’ Remoteness Area category, as defined by the Australian Bureau of Statistics (ABS), with reference to the 2016 Accessibility/Remoteness Index of Australia (ARIA)</w:t>
      </w:r>
    </w:p>
    <w:p w14:paraId="2A215A1B" w14:textId="626E7DA9" w:rsidR="00735FF8" w:rsidRPr="00735FF8"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 xml:space="preserve">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cash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2C39E050" w14:textId="5C8A8FB4"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Calculation</w:t>
      </w:r>
    </w:p>
    <w:p w14:paraId="4DB60608"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Schools are funded according to a Location Index. This is comprised of three components:</w:t>
      </w:r>
    </w:p>
    <w:p w14:paraId="5B123CD8" w14:textId="757F05F2" w:rsidR="006A37EC" w:rsidRPr="006A37EC" w:rsidRDefault="006A37EC" w:rsidP="006A37EC">
      <w:pPr>
        <w:pStyle w:val="ListParagraph"/>
        <w:numPr>
          <w:ilvl w:val="0"/>
          <w:numId w:val="74"/>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Distance from Melbourne (as measure from GPO)</w:t>
      </w:r>
    </w:p>
    <w:p w14:paraId="65B4FF6F" w14:textId="0EF68C2A" w:rsidR="006A37EC" w:rsidRPr="006A37EC" w:rsidRDefault="006A37EC" w:rsidP="006A37EC">
      <w:pPr>
        <w:pStyle w:val="ListParagraph"/>
        <w:numPr>
          <w:ilvl w:val="0"/>
          <w:numId w:val="74"/>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Distance from nearest provincial centre with a population of more than 20,000 people (as measured according to UCL 2016)</w:t>
      </w:r>
    </w:p>
    <w:p w14:paraId="6BB844C6" w14:textId="7A2961AF" w:rsidR="006A37EC" w:rsidRPr="006A37EC" w:rsidRDefault="006A37EC" w:rsidP="006A37EC">
      <w:pPr>
        <w:pStyle w:val="ListParagraph"/>
        <w:numPr>
          <w:ilvl w:val="0"/>
          <w:numId w:val="74"/>
        </w:numPr>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 xml:space="preserve">The nearest primary or secondary campus, as appropriate, above the rural school size adjustment factor threshold. </w:t>
      </w:r>
    </w:p>
    <w:p w14:paraId="28D0ABF7"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lastRenderedPageBreak/>
        <w:t>Note: Nearest campus required to have some of same enrolment type and have enrolments above RSAF thresholds.</w:t>
      </w:r>
    </w:p>
    <w:p w14:paraId="0FD5F93A" w14:textId="20956B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 xml:space="preserve">Each of these three factors are given an equal weighting. The Location Index is then constructed relative to the campus in Victoria with highest total of distances. </w:t>
      </w:r>
    </w:p>
    <w:p w14:paraId="4DA300E2" w14:textId="77777777" w:rsidR="006A37EC" w:rsidRPr="006A37EC" w:rsidRDefault="006A37EC"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37EC">
        <w:rPr>
          <w:rFonts w:ascii="VIC-Regular" w:eastAsia="Times New Roman" w:hAnsi="VIC-Regular" w:cs="Times New Roman"/>
          <w:color w:val="011A3C"/>
          <w:sz w:val="24"/>
          <w:szCs w:val="24"/>
          <w:lang w:val="en" w:eastAsia="en-AU"/>
        </w:rPr>
        <w:t xml:space="preserve">Each eligible school campus receives a base allocation plus a per student allocation. </w:t>
      </w:r>
    </w:p>
    <w:p w14:paraId="38E66C59" w14:textId="77777777" w:rsidR="006A37EC" w:rsidRPr="00B125AF" w:rsidRDefault="006A37EC" w:rsidP="006A37E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B125AF">
        <w:rPr>
          <w:rFonts w:ascii="VIC-Regular" w:eastAsia="Times New Roman" w:hAnsi="VIC-Regular" w:cs="Times New Roman"/>
          <w:b/>
          <w:bCs/>
          <w:color w:val="011A3C"/>
          <w:sz w:val="24"/>
          <w:szCs w:val="24"/>
          <w:lang w:val="en" w:eastAsia="en-AU"/>
        </w:rPr>
        <w:t>Primary Enrolment Allocation</w:t>
      </w:r>
    </w:p>
    <w:p w14:paraId="7AD772D6" w14:textId="77777777" w:rsidR="006A37EC" w:rsidRPr="00371B75" w:rsidRDefault="006A37EC" w:rsidP="00141B7F">
      <w:pPr>
        <w:rPr>
          <w:color w:val="323E4F" w:themeColor="text2" w:themeShade="BF"/>
          <w:lang w:val="en" w:eastAsia="en-AU"/>
        </w:rPr>
      </w:pPr>
      <w:r w:rsidRPr="00371B75">
        <w:rPr>
          <w:color w:val="323E4F" w:themeColor="text2" w:themeShade="BF"/>
          <w:lang w:val="en" w:eastAsia="en-AU"/>
        </w:rPr>
        <w:t>Allocation = Base + (Location Index × [Primary Student Enrolment] × [Per student Rate]).</w:t>
      </w:r>
    </w:p>
    <w:p w14:paraId="3CDB93E7" w14:textId="77777777" w:rsidR="006A37EC" w:rsidRPr="00371B75" w:rsidRDefault="006A37EC" w:rsidP="00141B7F">
      <w:pPr>
        <w:rPr>
          <w:color w:val="323E4F" w:themeColor="text2" w:themeShade="BF"/>
          <w:lang w:val="en" w:eastAsia="en-AU"/>
        </w:rPr>
      </w:pPr>
      <w:r w:rsidRPr="00371B75">
        <w:rPr>
          <w:color w:val="323E4F" w:themeColor="text2" w:themeShade="BF"/>
          <w:lang w:val="en" w:eastAsia="en-AU"/>
        </w:rPr>
        <w:t>Note: Enrolments are capped at 300 primary students.</w:t>
      </w:r>
    </w:p>
    <w:p w14:paraId="18C0217C" w14:textId="77777777" w:rsidR="006A37EC" w:rsidRPr="00B125AF" w:rsidRDefault="006A37EC" w:rsidP="006A37E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B125AF">
        <w:rPr>
          <w:rFonts w:ascii="VIC-Regular" w:eastAsia="Times New Roman" w:hAnsi="VIC-Regular" w:cs="Times New Roman"/>
          <w:b/>
          <w:bCs/>
          <w:color w:val="011A3C"/>
          <w:sz w:val="24"/>
          <w:szCs w:val="24"/>
          <w:lang w:val="en" w:eastAsia="en-AU"/>
        </w:rPr>
        <w:t>Secondary Enrolment Allocation</w:t>
      </w:r>
    </w:p>
    <w:p w14:paraId="1DD163DF" w14:textId="77777777" w:rsidR="006A37EC" w:rsidRPr="00865FB6" w:rsidRDefault="006A37EC" w:rsidP="00141B7F">
      <w:pPr>
        <w:rPr>
          <w:color w:val="323E4F" w:themeColor="text2" w:themeShade="BF"/>
          <w:lang w:val="en" w:eastAsia="en-AU"/>
        </w:rPr>
      </w:pPr>
      <w:r w:rsidRPr="00865FB6">
        <w:rPr>
          <w:color w:val="323E4F" w:themeColor="text2" w:themeShade="BF"/>
          <w:lang w:val="en" w:eastAsia="en-AU"/>
        </w:rPr>
        <w:t>Allocation = Base + (Location Index × [Secondary Student Enrolment] × [Per student Rate])</w:t>
      </w:r>
    </w:p>
    <w:p w14:paraId="185B0F6A" w14:textId="15DA5E2D" w:rsidR="001E0162" w:rsidRPr="00865FB6" w:rsidRDefault="006A37EC" w:rsidP="00141B7F">
      <w:pPr>
        <w:rPr>
          <w:color w:val="323E4F" w:themeColor="text2" w:themeShade="BF"/>
          <w:lang w:val="en" w:eastAsia="en-AU"/>
        </w:rPr>
      </w:pPr>
      <w:r w:rsidRPr="00865FB6">
        <w:rPr>
          <w:color w:val="323E4F" w:themeColor="text2" w:themeShade="BF"/>
          <w:lang w:val="en" w:eastAsia="en-AU"/>
        </w:rPr>
        <w:t xml:space="preserve">Note: Enrolments are capped at 500 secondary students. </w:t>
      </w:r>
    </w:p>
    <w:p w14:paraId="755B9127" w14:textId="7D878AA4" w:rsidR="00BF0EE8" w:rsidRPr="006A37EC" w:rsidRDefault="00141B7F" w:rsidP="006A37EC">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Campuses</w:t>
      </w:r>
      <w:r w:rsidR="00BF0EE8">
        <w:rPr>
          <w:rFonts w:ascii="VIC-Regular" w:eastAsia="Times New Roman" w:hAnsi="VIC-Regular" w:cs="Times New Roman"/>
          <w:color w:val="011A3C"/>
          <w:sz w:val="24"/>
          <w:szCs w:val="24"/>
          <w:lang w:val="en" w:eastAsia="en-AU"/>
        </w:rPr>
        <w:t xml:space="preserve"> with Primary and Secondary </w:t>
      </w:r>
      <w:r w:rsidR="00B125AF">
        <w:rPr>
          <w:rFonts w:ascii="VIC-Regular" w:eastAsia="Times New Roman" w:hAnsi="VIC-Regular" w:cs="Times New Roman"/>
          <w:color w:val="011A3C"/>
          <w:sz w:val="24"/>
          <w:szCs w:val="24"/>
          <w:lang w:val="en" w:eastAsia="en-AU"/>
        </w:rPr>
        <w:t>enrolments</w:t>
      </w:r>
      <w:r w:rsidR="00BF0EE8">
        <w:rPr>
          <w:rFonts w:ascii="VIC-Regular" w:eastAsia="Times New Roman" w:hAnsi="VIC-Regular" w:cs="Times New Roman"/>
          <w:color w:val="011A3C"/>
          <w:sz w:val="24"/>
          <w:szCs w:val="24"/>
          <w:lang w:val="en" w:eastAsia="en-AU"/>
        </w:rPr>
        <w:t xml:space="preserve"> receive the Primary and Secondary allocation.</w:t>
      </w:r>
    </w:p>
    <w:p w14:paraId="0352D635" w14:textId="29250EB3" w:rsidR="009753DC" w:rsidRPr="00141B7F" w:rsidRDefault="009753DC" w:rsidP="00141B7F">
      <w:pPr>
        <w:rPr>
          <w:rFonts w:ascii="VIC-Regular" w:eastAsia="Times New Roman" w:hAnsi="VIC-Regular" w:cs="Times New Roman"/>
          <w:b/>
          <w:bCs/>
          <w:color w:val="011A3C"/>
          <w:sz w:val="24"/>
          <w:szCs w:val="24"/>
          <w:lang w:val="en" w:eastAsia="en-AU"/>
        </w:rPr>
      </w:pPr>
      <w:r w:rsidRPr="00141B7F">
        <w:rPr>
          <w:rFonts w:ascii="VIC-Regular" w:eastAsia="Times New Roman" w:hAnsi="VIC-Regular" w:cs="Times New Roman"/>
          <w:b/>
          <w:bCs/>
          <w:color w:val="011A3C"/>
          <w:sz w:val="24"/>
          <w:szCs w:val="24"/>
          <w:lang w:val="en" w:eastAsia="en-AU"/>
        </w:rPr>
        <w:t>Rates 202</w:t>
      </w:r>
      <w:r w:rsidR="006A37EC" w:rsidRPr="00141B7F">
        <w:rPr>
          <w:rFonts w:ascii="VIC-Regular" w:eastAsia="Times New Roman" w:hAnsi="VIC-Regular" w:cs="Times New Roman"/>
          <w:b/>
          <w:bCs/>
          <w:color w:val="011A3C"/>
          <w:sz w:val="24"/>
          <w:szCs w:val="24"/>
          <w:lang w:val="en" w:eastAsia="en-AU"/>
        </w:rPr>
        <w:t>1</w:t>
      </w:r>
    </w:p>
    <w:p w14:paraId="2983D401" w14:textId="77777777" w:rsidR="00141B7F" w:rsidRPr="00371B75" w:rsidRDefault="009753DC" w:rsidP="00141B7F">
      <w:pPr>
        <w:pStyle w:val="ListParagraph"/>
        <w:numPr>
          <w:ilvl w:val="0"/>
          <w:numId w:val="217"/>
        </w:numPr>
        <w:rPr>
          <w:rFonts w:ascii="VIC-Regular" w:hAnsi="VIC-Regular"/>
          <w:color w:val="323E4F" w:themeColor="text2" w:themeShade="BF"/>
          <w:lang w:val="en" w:eastAsia="en-AU"/>
        </w:rPr>
      </w:pPr>
      <w:r w:rsidRPr="00371B75">
        <w:rPr>
          <w:rFonts w:ascii="VIC-Regular" w:hAnsi="VIC-Regular"/>
          <w:color w:val="323E4F" w:themeColor="text2" w:themeShade="BF"/>
          <w:lang w:val="en" w:eastAsia="en-AU"/>
        </w:rPr>
        <w:t xml:space="preserve">Base — </w:t>
      </w:r>
      <w:r w:rsidR="00C16EED" w:rsidRPr="00371B75">
        <w:rPr>
          <w:rFonts w:ascii="VIC-Regular" w:hAnsi="VIC-Regular"/>
          <w:color w:val="323E4F" w:themeColor="text2" w:themeShade="BF"/>
          <w:lang w:val="en" w:eastAsia="en-AU"/>
        </w:rPr>
        <w:t>$</w:t>
      </w:r>
      <w:r w:rsidR="006A37EC" w:rsidRPr="00371B75">
        <w:rPr>
          <w:rFonts w:ascii="VIC-Regular" w:hAnsi="VIC-Regular"/>
          <w:color w:val="323E4F" w:themeColor="text2" w:themeShade="BF"/>
          <w:lang w:val="en" w:eastAsia="en-AU"/>
        </w:rPr>
        <w:t>667.74</w:t>
      </w:r>
    </w:p>
    <w:p w14:paraId="6E8A22CE" w14:textId="0C761803" w:rsidR="009753DC" w:rsidRPr="00371B75" w:rsidRDefault="009753DC" w:rsidP="00141B7F">
      <w:pPr>
        <w:pStyle w:val="ListParagraph"/>
        <w:numPr>
          <w:ilvl w:val="0"/>
          <w:numId w:val="217"/>
        </w:numPr>
        <w:rPr>
          <w:rFonts w:ascii="VIC-Regular" w:hAnsi="VIC-Regular"/>
          <w:color w:val="323E4F" w:themeColor="text2" w:themeShade="BF"/>
          <w:lang w:val="en" w:eastAsia="en-AU"/>
        </w:rPr>
      </w:pPr>
      <w:r w:rsidRPr="00371B75">
        <w:rPr>
          <w:rFonts w:ascii="VIC-Regular" w:hAnsi="VIC-Regular"/>
          <w:color w:val="323E4F" w:themeColor="text2" w:themeShade="BF"/>
          <w:lang w:val="en" w:eastAsia="en-AU"/>
        </w:rPr>
        <w:t xml:space="preserve">Per Student Rate — </w:t>
      </w:r>
      <w:r w:rsidR="00C16EED" w:rsidRPr="00371B75">
        <w:rPr>
          <w:rFonts w:ascii="VIC-Regular" w:hAnsi="VIC-Regular"/>
          <w:color w:val="323E4F" w:themeColor="text2" w:themeShade="BF"/>
          <w:lang w:val="en" w:eastAsia="en-AU"/>
        </w:rPr>
        <w:t>$</w:t>
      </w:r>
      <w:r w:rsidR="006A37EC" w:rsidRPr="00371B75">
        <w:rPr>
          <w:rFonts w:ascii="VIC-Regular" w:hAnsi="VIC-Regular"/>
          <w:color w:val="323E4F" w:themeColor="text2" w:themeShade="BF"/>
          <w:lang w:val="en" w:eastAsia="en-AU"/>
        </w:rPr>
        <w:t>105.67</w:t>
      </w:r>
    </w:p>
    <w:p w14:paraId="407C59FB" w14:textId="78FB35A0" w:rsidR="006A37EC" w:rsidRPr="002A62F7" w:rsidRDefault="002A62F7" w:rsidP="002A62F7">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2A62F7">
        <w:rPr>
          <w:rFonts w:ascii="VIC-Bold" w:eastAsia="Times New Roman" w:hAnsi="VIC-Bold" w:cs="Times New Roman"/>
          <w:b/>
          <w:bCs/>
          <w:color w:val="011A3C"/>
          <w:sz w:val="24"/>
          <w:szCs w:val="24"/>
          <w:lang w:val="en" w:eastAsia="en-AU"/>
        </w:rPr>
        <w:t>O</w:t>
      </w:r>
      <w:r w:rsidR="006A37EC" w:rsidRPr="002A62F7">
        <w:rPr>
          <w:rFonts w:ascii="VIC-Bold" w:eastAsia="Times New Roman" w:hAnsi="VIC-Bold" w:cs="Times New Roman"/>
          <w:b/>
          <w:bCs/>
          <w:color w:val="011A3C"/>
          <w:sz w:val="24"/>
          <w:szCs w:val="24"/>
          <w:lang w:val="en" w:eastAsia="en-AU"/>
        </w:rPr>
        <w:t>ther relevant information</w:t>
      </w:r>
      <w:r w:rsidRPr="002A62F7">
        <w:rPr>
          <w:rFonts w:ascii="VIC-Bold" w:eastAsia="Times New Roman" w:hAnsi="VIC-Bold" w:cs="Times New Roman"/>
          <w:b/>
          <w:bCs/>
          <w:color w:val="011A3C"/>
          <w:sz w:val="24"/>
          <w:szCs w:val="24"/>
          <w:lang w:val="en" w:eastAsia="en-AU"/>
        </w:rPr>
        <w:t>:</w:t>
      </w:r>
    </w:p>
    <w:p w14:paraId="7D94CDE4" w14:textId="77777777" w:rsidR="006A37EC" w:rsidRPr="002A62F7"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t>It is intended that location measures will be updated with the release of new ABS data every 5 years. The next release is scheduled in 2021.</w:t>
      </w:r>
    </w:p>
    <w:p w14:paraId="65A382ED" w14:textId="77777777" w:rsidR="006A37EC" w:rsidRPr="002A62F7"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t>All distances are measured via road.</w:t>
      </w:r>
    </w:p>
    <w:p w14:paraId="2CA0BBB7" w14:textId="77777777" w:rsidR="006A37EC" w:rsidRPr="002A62F7"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t>ARIA+ is a continuous index, which the ABS uses to define the Remoteness Area categories, including: Major Cities of Australia, Inner Regional Australia, Outer Regional Australia, Remote Australia and Very Remote Australia. These categories of remoteness are based on a measure of relative access to services. Further information can be found here.</w:t>
      </w:r>
    </w:p>
    <w:p w14:paraId="27E57010" w14:textId="7BC16C37" w:rsidR="006A37EC" w:rsidRPr="002A62F7" w:rsidRDefault="006A37EC" w:rsidP="006A37EC">
      <w:pPr>
        <w:rPr>
          <w:rFonts w:ascii="VIC-Regular" w:eastAsia="Times New Roman" w:hAnsi="VIC-Regular" w:cs="Times New Roman"/>
          <w:color w:val="011A3C"/>
          <w:sz w:val="24"/>
          <w:szCs w:val="24"/>
          <w:lang w:val="en" w:eastAsia="en-AU"/>
        </w:rPr>
      </w:pPr>
      <w:r w:rsidRPr="002A62F7">
        <w:rPr>
          <w:rFonts w:ascii="VIC-Regular" w:eastAsia="Times New Roman" w:hAnsi="VIC-Regular" w:cs="Times New Roman"/>
          <w:color w:val="011A3C"/>
          <w:sz w:val="24"/>
          <w:szCs w:val="24"/>
          <w:lang w:val="en" w:eastAsia="en-AU"/>
        </w:rPr>
        <w:t xml:space="preserve">To determine a campus’ Remoteness Area category and UCL boundary, use the ABS map tool located </w:t>
      </w:r>
      <w:hyperlink r:id="rId76" w:history="1">
        <w:r w:rsidRPr="002A62F7">
          <w:rPr>
            <w:rFonts w:ascii="VIC-Regular" w:eastAsia="Times New Roman" w:hAnsi="VIC-Regular" w:cs="Times New Roman"/>
            <w:color w:val="011A3C"/>
            <w:sz w:val="24"/>
            <w:szCs w:val="24"/>
            <w:lang w:val="en" w:eastAsia="en-AU"/>
          </w:rPr>
          <w:t>here</w:t>
        </w:r>
      </w:hyperlink>
      <w:r w:rsidRPr="002A62F7">
        <w:rPr>
          <w:rFonts w:ascii="VIC-Regular" w:eastAsia="Times New Roman" w:hAnsi="VIC-Regular" w:cs="Times New Roman"/>
          <w:color w:val="011A3C"/>
          <w:sz w:val="24"/>
          <w:szCs w:val="24"/>
          <w:lang w:val="en" w:eastAsia="en-AU"/>
        </w:rPr>
        <w:t>.</w:t>
      </w:r>
    </w:p>
    <w:p w14:paraId="287A0855" w14:textId="3DAD2BB8" w:rsidR="00B25992" w:rsidRDefault="00B25992" w:rsidP="00B25992">
      <w:pPr>
        <w:rPr>
          <w:rFonts w:ascii="VIC-Regular" w:eastAsia="Times New Roman" w:hAnsi="VIC-Regular" w:cs="Times New Roman"/>
          <w:color w:val="011A3C"/>
          <w:sz w:val="24"/>
          <w:szCs w:val="24"/>
          <w:lang w:val="en" w:eastAsia="en-AU"/>
        </w:rPr>
      </w:pPr>
      <w:bookmarkStart w:id="55" w:name="_Hlk50546739"/>
      <w:r>
        <w:rPr>
          <w:rFonts w:ascii="VIC-Regular" w:eastAsia="Times New Roman" w:hAnsi="VIC-Regular" w:cs="Times New Roman"/>
          <w:color w:val="011A3C"/>
          <w:sz w:val="24"/>
          <w:szCs w:val="24"/>
          <w:lang w:val="en" w:eastAsia="en-AU"/>
        </w:rPr>
        <w:lastRenderedPageBreak/>
        <w:t>Additionally, schools that may be eligible for transition should refer to:</w:t>
      </w:r>
    </w:p>
    <w:p w14:paraId="4466343E" w14:textId="6C9E7559" w:rsidR="009753DC" w:rsidRDefault="00B25992" w:rsidP="00B25992">
      <w:r w:rsidRPr="00B25992">
        <w:rPr>
          <w:rFonts w:ascii="VIC-Regular" w:eastAsia="Times New Roman" w:hAnsi="VIC-Regular" w:cs="Times New Roman"/>
          <w:color w:val="011A3C"/>
          <w:sz w:val="24"/>
          <w:szCs w:val="24"/>
          <w:lang w:val="en" w:eastAsia="en-AU"/>
        </w:rPr>
        <w:t>Transition Funding (Rural) (Ref 126)</w:t>
      </w:r>
    </w:p>
    <w:bookmarkEnd w:id="55"/>
    <w:p w14:paraId="1FEF0EA9" w14:textId="77777777" w:rsidR="009753DC" w:rsidRDefault="009753DC" w:rsidP="009753DC">
      <w:r>
        <w:br w:type="page"/>
      </w:r>
    </w:p>
    <w:p w14:paraId="31121E98" w14:textId="3782FDB4" w:rsidR="009753DC" w:rsidRPr="00D53AEB" w:rsidRDefault="009753DC" w:rsidP="00842992">
      <w:pPr>
        <w:pStyle w:val="Heading2"/>
      </w:pPr>
      <w:bookmarkStart w:id="56" w:name="_Toc52796202"/>
      <w:r w:rsidRPr="00D53AEB">
        <w:lastRenderedPageBreak/>
        <w:t>MARC/MACC Teachers</w:t>
      </w:r>
      <w:r w:rsidR="006865F7">
        <w:t xml:space="preserve"> and</w:t>
      </w:r>
      <w:r w:rsidRPr="00D53AEB">
        <w:t xml:space="preserve"> Science and Technology (Reference 40)</w:t>
      </w:r>
      <w:bookmarkEnd w:id="56"/>
    </w:p>
    <w:p w14:paraId="1F2C85B6" w14:textId="4DDDB78D"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budgets for MARC/MACC Teachers</w:t>
      </w:r>
      <w:r w:rsidR="006865F7">
        <w:rPr>
          <w:rFonts w:ascii="VIC-Regular" w:eastAsia="Times New Roman" w:hAnsi="VIC-Regular" w:cs="Times New Roman"/>
          <w:color w:val="011A3C"/>
          <w:sz w:val="24"/>
          <w:szCs w:val="24"/>
          <w:lang w:val="en" w:eastAsia="en-AU"/>
        </w:rPr>
        <w:t xml:space="preserve"> and</w:t>
      </w:r>
      <w:r w:rsidRPr="00D53AEB">
        <w:rPr>
          <w:rFonts w:ascii="VIC-Regular" w:eastAsia="Times New Roman" w:hAnsi="VIC-Regular" w:cs="Times New Roman"/>
          <w:color w:val="011A3C"/>
          <w:sz w:val="24"/>
          <w:szCs w:val="24"/>
          <w:lang w:val="en" w:eastAsia="en-AU"/>
        </w:rPr>
        <w:t>Science and Technology, is based on a teacher EFT and the funding rates are all-inclusive for salaries and related costs.</w:t>
      </w:r>
    </w:p>
    <w:p w14:paraId="440AF8C9" w14:textId="5BCAE8F6" w:rsidR="002104B8" w:rsidRPr="00D53AE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Funding allocations are </w:t>
      </w:r>
      <w:r w:rsidR="006865F7">
        <w:rPr>
          <w:rFonts w:ascii="VIC-Regular" w:eastAsia="Times New Roman" w:hAnsi="VIC-Regular" w:cs="Times New Roman"/>
          <w:color w:val="011A3C"/>
          <w:sz w:val="24"/>
          <w:szCs w:val="24"/>
          <w:lang w:val="en" w:eastAsia="en-AU"/>
        </w:rPr>
        <w:t xml:space="preserve">determined by </w:t>
      </w:r>
      <w:r>
        <w:rPr>
          <w:rFonts w:ascii="VIC-Regular" w:eastAsia="Times New Roman" w:hAnsi="VIC-Regular" w:cs="Times New Roman"/>
          <w:color w:val="011A3C"/>
          <w:sz w:val="24"/>
          <w:szCs w:val="24"/>
          <w:lang w:val="en" w:eastAsia="en-AU"/>
        </w:rPr>
        <w:t xml:space="preserve"> the region</w:t>
      </w:r>
      <w:r w:rsidR="006865F7">
        <w:rPr>
          <w:rFonts w:ascii="VIC-Regular" w:eastAsia="Times New Roman" w:hAnsi="VIC-Regular" w:cs="Times New Roman"/>
          <w:color w:val="011A3C"/>
          <w:sz w:val="24"/>
          <w:szCs w:val="24"/>
          <w:lang w:val="en" w:eastAsia="en-AU"/>
        </w:rPr>
        <w:t>al offices</w:t>
      </w:r>
      <w:r>
        <w:rPr>
          <w:rFonts w:ascii="VIC-Regular" w:eastAsia="Times New Roman" w:hAnsi="VIC-Regular" w:cs="Times New Roman"/>
          <w:color w:val="011A3C"/>
          <w:sz w:val="24"/>
          <w:szCs w:val="24"/>
          <w:lang w:val="en" w:eastAsia="en-AU"/>
        </w:rPr>
        <w:t>.</w:t>
      </w:r>
    </w:p>
    <w:p w14:paraId="04720761" w14:textId="2A7A817F" w:rsidR="002104B8" w:rsidRPr="002104B8"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w:t>
      </w:r>
      <w:r w:rsidRPr="005727F1">
        <w:rPr>
          <w:rFonts w:ascii="VIC-Regular" w:eastAsia="Times New Roman" w:hAnsi="VIC-Regular" w:cs="Times New Roman"/>
          <w:color w:val="011A3C"/>
          <w:sz w:val="24"/>
          <w:szCs w:val="24"/>
          <w:lang w:val="en" w:eastAsia="en-AU"/>
        </w:rPr>
        <w:t>and</w:t>
      </w:r>
      <w:r>
        <w:rPr>
          <w:rFonts w:ascii="VIC-Regular" w:eastAsia="Times New Roman" w:hAnsi="VIC-Regular" w:cs="Times New Roman"/>
          <w:color w:val="011A3C"/>
          <w:sz w:val="24"/>
          <w:szCs w:val="24"/>
          <w:lang w:val="en" w:eastAsia="en-AU"/>
        </w:rPr>
        <w:t xml:space="preserve"> may be updated at the</w:t>
      </w:r>
      <w:r w:rsidRPr="005727F1">
        <w:rPr>
          <w:rFonts w:ascii="VIC-Regular" w:eastAsia="Times New Roman" w:hAnsi="VIC-Regular" w:cs="Times New Roman"/>
          <w:color w:val="011A3C"/>
          <w:sz w:val="24"/>
          <w:szCs w:val="24"/>
          <w:lang w:val="en" w:eastAsia="en-AU"/>
        </w:rPr>
        <w:t xml:space="preserve"> Confirmed cycle</w:t>
      </w:r>
      <w:r w:rsidR="006865F7">
        <w:rPr>
          <w:rFonts w:ascii="VIC-Regular" w:eastAsia="Times New Roman" w:hAnsi="VIC-Regular" w:cs="Times New Roman"/>
          <w:color w:val="011A3C"/>
          <w:sz w:val="24"/>
          <w:szCs w:val="24"/>
          <w:lang w:val="en" w:eastAsia="en-AU"/>
        </w:rPr>
        <w:t xml:space="preserve"> if advice is provided by the region</w:t>
      </w:r>
      <w:r w:rsidRPr="005727F1">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and cash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058EF33F" w14:textId="12581623"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 202</w:t>
      </w:r>
      <w:r w:rsidR="006865F7">
        <w:rPr>
          <w:rFonts w:ascii="VIC-Bold" w:eastAsia="Times New Roman" w:hAnsi="VIC-Bold" w:cs="Times New Roman"/>
          <w:b/>
          <w:bCs/>
          <w:color w:val="011A3C"/>
          <w:sz w:val="27"/>
          <w:szCs w:val="27"/>
          <w:lang w:val="en" w:eastAsia="en-AU"/>
        </w:rPr>
        <w:t>1</w:t>
      </w:r>
    </w:p>
    <w:p w14:paraId="58167673" w14:textId="77777777" w:rsidR="009753DC" w:rsidRPr="00D53AEB"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D53AEB">
        <w:rPr>
          <w:rFonts w:ascii="VIC-Bold" w:eastAsia="Times New Roman" w:hAnsi="VIC-Bold" w:cs="Times New Roman"/>
          <w:color w:val="011A3C"/>
          <w:sz w:val="24"/>
          <w:szCs w:val="24"/>
          <w:lang w:val="en" w:eastAsia="en-AU"/>
        </w:rPr>
        <w:t>Rate per EFT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D53AEB" w14:paraId="4090BE25" w14:textId="77777777" w:rsidTr="00D93949">
        <w:trPr>
          <w:tblHeader/>
        </w:trPr>
        <w:tc>
          <w:tcPr>
            <w:tcW w:w="0" w:type="auto"/>
            <w:hideMark/>
          </w:tcPr>
          <w:p w14:paraId="70CB0D50"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Sector</w:t>
            </w:r>
          </w:p>
        </w:tc>
        <w:tc>
          <w:tcPr>
            <w:tcW w:w="0" w:type="auto"/>
            <w:hideMark/>
          </w:tcPr>
          <w:p w14:paraId="38CAB9B6" w14:textId="77777777" w:rsidR="009753DC" w:rsidRPr="00371B75" w:rsidRDefault="009753DC" w:rsidP="006865F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54435A80" w14:textId="77777777" w:rsidR="009753DC" w:rsidRPr="00371B75" w:rsidRDefault="009753DC" w:rsidP="006865F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36F3C31B" w14:textId="77777777" w:rsidR="009753DC" w:rsidRPr="00371B75" w:rsidRDefault="009753DC" w:rsidP="006865F7">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9753DC" w:rsidRPr="00D53AEB" w14:paraId="74B5BCCF" w14:textId="77777777" w:rsidTr="00D93949">
        <w:tc>
          <w:tcPr>
            <w:tcW w:w="0" w:type="auto"/>
            <w:hideMark/>
          </w:tcPr>
          <w:p w14:paraId="0BDB7B65"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7E197F05" w14:textId="5855FE5A" w:rsidR="009753DC" w:rsidRPr="00371B75" w:rsidRDefault="006865F7"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118,496</w:t>
            </w:r>
          </w:p>
        </w:tc>
        <w:tc>
          <w:tcPr>
            <w:tcW w:w="0" w:type="auto"/>
            <w:hideMark/>
          </w:tcPr>
          <w:p w14:paraId="332ADEE6" w14:textId="760BA107" w:rsidR="009753DC" w:rsidRPr="00371B75" w:rsidRDefault="006865F7"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3,057</w:t>
            </w:r>
          </w:p>
        </w:tc>
        <w:tc>
          <w:tcPr>
            <w:tcW w:w="0" w:type="auto"/>
            <w:hideMark/>
          </w:tcPr>
          <w:p w14:paraId="0EB5EF9B" w14:textId="372D7DAF" w:rsidR="009753DC" w:rsidRPr="00371B75" w:rsidRDefault="006865F7"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121,553</w:t>
            </w:r>
          </w:p>
        </w:tc>
      </w:tr>
      <w:tr w:rsidR="009753DC" w:rsidRPr="00D53AEB" w14:paraId="6937EB23" w14:textId="77777777" w:rsidTr="00D93949">
        <w:tc>
          <w:tcPr>
            <w:tcW w:w="0" w:type="auto"/>
            <w:hideMark/>
          </w:tcPr>
          <w:p w14:paraId="7B19578B"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16406390" w14:textId="673B6B07" w:rsidR="009753DC" w:rsidRPr="00371B75" w:rsidRDefault="00946FE5"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119,535</w:t>
            </w:r>
          </w:p>
        </w:tc>
        <w:tc>
          <w:tcPr>
            <w:tcW w:w="0" w:type="auto"/>
            <w:hideMark/>
          </w:tcPr>
          <w:p w14:paraId="3F384CBA" w14:textId="6D85DE2E" w:rsidR="009753DC" w:rsidRPr="00371B75" w:rsidRDefault="00946FE5"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1,595</w:t>
            </w:r>
          </w:p>
        </w:tc>
        <w:tc>
          <w:tcPr>
            <w:tcW w:w="0" w:type="auto"/>
            <w:hideMark/>
          </w:tcPr>
          <w:p w14:paraId="6DE444FF" w14:textId="43A98777" w:rsidR="009753DC" w:rsidRPr="00371B75" w:rsidRDefault="00946FE5" w:rsidP="006865F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121,130</w:t>
            </w:r>
          </w:p>
        </w:tc>
      </w:tr>
    </w:tbl>
    <w:p w14:paraId="21448B56" w14:textId="77777777" w:rsidR="009753DC" w:rsidRPr="00D93949" w:rsidRDefault="009753DC" w:rsidP="009753DC">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Notes</w:t>
      </w:r>
    </w:p>
    <w:p w14:paraId="5DA2321D"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funding for MARC/MACC teachers is allocated to the host school.</w:t>
      </w:r>
    </w:p>
    <w:p w14:paraId="12A736E8" w14:textId="751B3031" w:rsidR="009753DC" w:rsidRPr="00FF25C9" w:rsidRDefault="009753DC"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principal of the host school has responsibility for determining the tasks that will attract a special payment in that school including any payment for tasks associated with the MARC/MACC activity.</w:t>
      </w:r>
    </w:p>
    <w:p w14:paraId="33F2250B" w14:textId="77777777" w:rsidR="009753DC" w:rsidRDefault="009753DC" w:rsidP="009753DC">
      <w:r>
        <w:br w:type="page"/>
      </w:r>
    </w:p>
    <w:p w14:paraId="6B83EAC3" w14:textId="77777777" w:rsidR="009753DC" w:rsidRPr="00D53AEB" w:rsidRDefault="009753DC" w:rsidP="00842992">
      <w:pPr>
        <w:pStyle w:val="Heading2"/>
      </w:pPr>
      <w:bookmarkStart w:id="57" w:name="_Toc52796203"/>
      <w:r w:rsidRPr="00D53AEB">
        <w:lastRenderedPageBreak/>
        <w:t>Instrumental Music Programs (Reference 41)</w:t>
      </w:r>
      <w:bookmarkEnd w:id="57"/>
    </w:p>
    <w:p w14:paraId="3ED23DE4"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Instrumental Music Program provides funding opportunities for new and/or developing secondary schools that were not available previously and regions will now have greater flexibility to target resources to highest priority programs. The level of credit is determined by Regions.</w:t>
      </w:r>
    </w:p>
    <w:p w14:paraId="68144C69" w14:textId="2F14BB44" w:rsidR="009753DC" w:rsidRPr="00FF25C9" w:rsidRDefault="002104B8"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w:t>
      </w:r>
      <w:r w:rsidRPr="005727F1">
        <w:rPr>
          <w:rFonts w:ascii="VIC-Regular" w:eastAsia="Times New Roman" w:hAnsi="VIC-Regular" w:cs="Times New Roman"/>
          <w:color w:val="011A3C"/>
          <w:sz w:val="24"/>
          <w:szCs w:val="24"/>
          <w:lang w:val="en" w:eastAsia="en-AU"/>
        </w:rPr>
        <w:t>and</w:t>
      </w:r>
      <w:r>
        <w:rPr>
          <w:rFonts w:ascii="VIC-Regular" w:eastAsia="Times New Roman" w:hAnsi="VIC-Regular" w:cs="Times New Roman"/>
          <w:color w:val="011A3C"/>
          <w:sz w:val="24"/>
          <w:szCs w:val="24"/>
          <w:lang w:val="en" w:eastAsia="en-AU"/>
        </w:rPr>
        <w:t xml:space="preserve"> may be updated at the</w:t>
      </w:r>
      <w:r w:rsidRPr="005727F1">
        <w:rPr>
          <w:rFonts w:ascii="VIC-Regular" w:eastAsia="Times New Roman" w:hAnsi="VIC-Regular" w:cs="Times New Roman"/>
          <w:color w:val="011A3C"/>
          <w:sz w:val="24"/>
          <w:szCs w:val="24"/>
          <w:lang w:val="en" w:eastAsia="en-AU"/>
        </w:rPr>
        <w:t xml:space="preserve"> Confirmed cycle,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6DC437E7" w14:textId="77777777" w:rsidR="009753DC" w:rsidRDefault="009753DC" w:rsidP="009753DC">
      <w:r>
        <w:br w:type="page"/>
      </w:r>
    </w:p>
    <w:p w14:paraId="433B0E7A" w14:textId="4960F618" w:rsidR="009753DC" w:rsidRDefault="009753DC" w:rsidP="00FF25C9">
      <w:pPr>
        <w:pStyle w:val="Heading2"/>
      </w:pPr>
      <w:bookmarkStart w:id="58" w:name="_Toc52796204"/>
      <w:r>
        <w:lastRenderedPageBreak/>
        <w:t>Language assistants (Reference 42)</w:t>
      </w:r>
      <w:bookmarkEnd w:id="58"/>
    </w:p>
    <w:p w14:paraId="559D0FC5"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Language assistants are allocated to government schools on an annual basis through the Funded Language Assistants Program (FLAP), after consideration of applications from schools. The Program is managed by the Learning, Teaching and Pathways Division.</w:t>
      </w:r>
    </w:p>
    <w:p w14:paraId="0572EAB0"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Eligibility</w:t>
      </w:r>
    </w:p>
    <w:p w14:paraId="24A2078E"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Schools with the following school types are eligible for Language Assistants funding which is allocated to the host school.</w:t>
      </w:r>
    </w:p>
    <w:p w14:paraId="77088D1A" w14:textId="77777777" w:rsidR="002104B8" w:rsidRDefault="002104B8" w:rsidP="002104B8">
      <w:pPr>
        <w:pStyle w:val="ListParagraph"/>
        <w:numPr>
          <w:ilvl w:val="0"/>
          <w:numId w:val="74"/>
        </w:numPr>
        <w:spacing w:line="252" w:lineRule="auto"/>
        <w:rPr>
          <w:rFonts w:eastAsia="Times New Roman"/>
          <w:lang w:val="en-US"/>
        </w:rPr>
      </w:pPr>
      <w:r>
        <w:rPr>
          <w:rFonts w:ascii="VIC-Regular" w:eastAsia="Times New Roman" w:hAnsi="VIC-Regular"/>
          <w:color w:val="011A3C"/>
          <w:sz w:val="24"/>
          <w:szCs w:val="24"/>
          <w:lang w:val="en" w:eastAsia="en-AU"/>
        </w:rPr>
        <w:t>Primary</w:t>
      </w:r>
    </w:p>
    <w:p w14:paraId="1E1A1955" w14:textId="77777777" w:rsidR="002104B8" w:rsidRDefault="002104B8" w:rsidP="002104B8">
      <w:pPr>
        <w:pStyle w:val="ListParagraph"/>
        <w:numPr>
          <w:ilvl w:val="0"/>
          <w:numId w:val="74"/>
        </w:numPr>
        <w:spacing w:line="252" w:lineRule="auto"/>
        <w:rPr>
          <w:rFonts w:ascii="VIC-Regular" w:eastAsia="Times New Roman" w:hAnsi="VIC-Regular"/>
          <w:color w:val="011A3C"/>
          <w:sz w:val="24"/>
          <w:szCs w:val="24"/>
          <w:lang w:val="en" w:eastAsia="en-AU"/>
        </w:rPr>
      </w:pPr>
      <w:r>
        <w:rPr>
          <w:rFonts w:ascii="VIC-Regular" w:eastAsia="Times New Roman" w:hAnsi="VIC-Regular"/>
          <w:color w:val="011A3C"/>
          <w:sz w:val="24"/>
          <w:szCs w:val="24"/>
          <w:lang w:val="en" w:eastAsia="en-AU"/>
        </w:rPr>
        <w:t>Secondary</w:t>
      </w:r>
    </w:p>
    <w:p w14:paraId="6A4A8128" w14:textId="77777777" w:rsidR="002104B8" w:rsidRDefault="002104B8" w:rsidP="002104B8">
      <w:pPr>
        <w:pStyle w:val="ListParagraph"/>
        <w:numPr>
          <w:ilvl w:val="0"/>
          <w:numId w:val="74"/>
        </w:numPr>
        <w:spacing w:line="252" w:lineRule="auto"/>
        <w:rPr>
          <w:rFonts w:ascii="VIC-Regular" w:eastAsia="Times New Roman" w:hAnsi="VIC-Regular"/>
          <w:color w:val="011A3C"/>
          <w:sz w:val="24"/>
          <w:szCs w:val="24"/>
          <w:lang w:val="en" w:eastAsia="en-AU"/>
        </w:rPr>
      </w:pPr>
      <w:r>
        <w:rPr>
          <w:rFonts w:ascii="VIC-Regular" w:eastAsia="Times New Roman" w:hAnsi="VIC-Regular"/>
          <w:color w:val="011A3C"/>
          <w:sz w:val="24"/>
          <w:szCs w:val="24"/>
          <w:lang w:val="en" w:eastAsia="en-AU"/>
        </w:rPr>
        <w:t>Primary / Secondary Combined</w:t>
      </w:r>
    </w:p>
    <w:p w14:paraId="4749CCF9"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75494671"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Calculation</w:t>
      </w:r>
    </w:p>
    <w:p w14:paraId="17206306" w14:textId="59BECAB4" w:rsidR="002104B8" w:rsidRPr="00E668E9" w:rsidRDefault="002104B8" w:rsidP="002104B8">
      <w:pPr>
        <w:spacing w:before="100" w:beforeAutospacing="1" w:after="100" w:afterAutospacing="1" w:line="288"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Language assistant funding = FTE * ES Salary Rate </w:t>
      </w:r>
      <w:r w:rsidR="00946FE5">
        <w:rPr>
          <w:rFonts w:ascii="VIC-Regular" w:hAnsi="VIC-Regular"/>
          <w:color w:val="011A3C"/>
          <w:sz w:val="24"/>
          <w:szCs w:val="24"/>
          <w:lang w:val="en" w:eastAsia="en-AU"/>
        </w:rPr>
        <w:t>(</w:t>
      </w:r>
      <w:r w:rsidR="0017159D">
        <w:rPr>
          <w:rFonts w:ascii="VIC-Regular" w:hAnsi="VIC-Regular"/>
          <w:color w:val="011A3C"/>
          <w:sz w:val="24"/>
          <w:szCs w:val="24"/>
          <w:lang w:val="en" w:eastAsia="en-AU"/>
        </w:rPr>
        <w:t>$</w:t>
      </w:r>
      <w:r w:rsidR="00946FE5" w:rsidRPr="00946FE5">
        <w:rPr>
          <w:rFonts w:ascii="VIC-Regular" w:hAnsi="VIC-Regular"/>
          <w:color w:val="011A3C"/>
          <w:sz w:val="24"/>
          <w:szCs w:val="24"/>
          <w:lang w:val="en" w:eastAsia="en-AU"/>
        </w:rPr>
        <w:t>59,731</w:t>
      </w:r>
      <w:r w:rsidR="00946FE5">
        <w:rPr>
          <w:rFonts w:ascii="VIC-Regular" w:hAnsi="VIC-Regular"/>
          <w:color w:val="011A3C"/>
          <w:sz w:val="24"/>
          <w:szCs w:val="24"/>
          <w:lang w:val="en" w:eastAsia="en-AU"/>
        </w:rPr>
        <w:t>)</w:t>
      </w:r>
    </w:p>
    <w:p w14:paraId="5083AE54"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Notes</w:t>
      </w:r>
    </w:p>
    <w:p w14:paraId="66C39B7D"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Language assistants are employed as Education Support Staff at 0.8 FTE.</w:t>
      </w:r>
      <w:r>
        <w:rPr>
          <w:rFonts w:ascii="VIC-Regular" w:hAnsi="VIC-Regular"/>
          <w:color w:val="011A3C"/>
          <w:sz w:val="24"/>
          <w:szCs w:val="24"/>
          <w:lang w:val="en" w:eastAsia="en-AU"/>
        </w:rPr>
        <w:br/>
        <w:t>Allocations for Language Assistants cannot be transferred to cash.</w:t>
      </w:r>
    </w:p>
    <w:p w14:paraId="4BA727E6" w14:textId="77777777" w:rsidR="009753DC" w:rsidRDefault="009753DC" w:rsidP="009753DC">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66B28AA1" w14:textId="77777777" w:rsidR="009753DC" w:rsidRPr="00D53AEB" w:rsidRDefault="009753DC" w:rsidP="00842992">
      <w:pPr>
        <w:pStyle w:val="Heading2"/>
      </w:pPr>
      <w:bookmarkStart w:id="59" w:name="_Toc52796205"/>
      <w:r w:rsidRPr="00D53AEB">
        <w:lastRenderedPageBreak/>
        <w:t>Bus coordination (Reference 43)</w:t>
      </w:r>
      <w:bookmarkEnd w:id="59"/>
    </w:p>
    <w:p w14:paraId="79CE13DC" w14:textId="29487AF8" w:rsidR="002104B8" w:rsidRPr="00AF3C34" w:rsidRDefault="00BD04CA"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D04CA">
        <w:rPr>
          <w:rFonts w:ascii="VIC-Regular" w:eastAsia="Times New Roman" w:hAnsi="VIC-Regular" w:cs="Times New Roman"/>
          <w:color w:val="011A3C"/>
          <w:sz w:val="24"/>
          <w:szCs w:val="24"/>
          <w:lang w:val="en" w:eastAsia="en-AU"/>
        </w:rPr>
        <w:t>Funding allocations are determined by regional offices</w:t>
      </w:r>
      <w:r w:rsidRPr="00BD04CA" w:rsidDel="00BD04CA">
        <w:rPr>
          <w:rFonts w:ascii="VIC-Regular" w:eastAsia="Times New Roman" w:hAnsi="VIC-Regular" w:cs="Times New Roman"/>
          <w:color w:val="011A3C"/>
          <w:sz w:val="24"/>
          <w:szCs w:val="24"/>
          <w:lang w:val="en" w:eastAsia="en-AU"/>
        </w:rPr>
        <w:t xml:space="preserve"> </w:t>
      </w:r>
      <w:r w:rsidR="002104B8" w:rsidRPr="005727F1">
        <w:rPr>
          <w:rFonts w:ascii="VIC-Regular" w:eastAsia="Times New Roman" w:hAnsi="VIC-Regular" w:cs="Times New Roman"/>
          <w:color w:val="011A3C"/>
          <w:sz w:val="24"/>
          <w:szCs w:val="24"/>
          <w:lang w:val="en" w:eastAsia="en-AU"/>
        </w:rPr>
        <w:t>Funding is calculated at the Indicative</w:t>
      </w:r>
      <w:r w:rsidR="002104B8">
        <w:rPr>
          <w:rFonts w:ascii="VIC-Regular" w:eastAsia="Times New Roman" w:hAnsi="VIC-Regular" w:cs="Times New Roman"/>
          <w:color w:val="011A3C"/>
          <w:sz w:val="24"/>
          <w:szCs w:val="24"/>
          <w:lang w:val="en" w:eastAsia="en-AU"/>
        </w:rPr>
        <w:t xml:space="preserve"> cycle and may be updated at the </w:t>
      </w:r>
      <w:r w:rsidR="002104B8" w:rsidRPr="005727F1">
        <w:rPr>
          <w:rFonts w:ascii="VIC-Regular" w:eastAsia="Times New Roman" w:hAnsi="VIC-Regular" w:cs="Times New Roman"/>
          <w:color w:val="011A3C"/>
          <w:sz w:val="24"/>
          <w:szCs w:val="24"/>
          <w:lang w:val="en" w:eastAsia="en-AU"/>
        </w:rPr>
        <w:t>Confirmed</w:t>
      </w:r>
      <w:r w:rsidR="002104B8" w:rsidRPr="00955EC5">
        <w:rPr>
          <w:rFonts w:ascii="VIC-Regular" w:eastAsia="Times New Roman" w:hAnsi="VIC-Regular" w:cs="Times New Roman"/>
          <w:color w:val="011A3C"/>
          <w:sz w:val="24"/>
          <w:szCs w:val="24"/>
          <w:lang w:val="en" w:eastAsia="en-AU"/>
        </w:rPr>
        <w:t xml:space="preserve"> </w:t>
      </w:r>
      <w:r w:rsidR="002104B8" w:rsidRPr="005727F1">
        <w:rPr>
          <w:rFonts w:ascii="VIC-Regular" w:eastAsia="Times New Roman" w:hAnsi="VIC-Regular" w:cs="Times New Roman"/>
          <w:color w:val="011A3C"/>
          <w:sz w:val="24"/>
          <w:szCs w:val="24"/>
          <w:lang w:val="en" w:eastAsia="en-AU"/>
        </w:rPr>
        <w:t xml:space="preserve">cycle, </w:t>
      </w:r>
      <w:r w:rsidR="002104B8">
        <w:rPr>
          <w:rFonts w:ascii="VIC-Regular" w:eastAsia="Times New Roman" w:hAnsi="VIC-Regular" w:cs="Times New Roman"/>
          <w:color w:val="011A3C"/>
          <w:sz w:val="24"/>
          <w:szCs w:val="24"/>
          <w:lang w:val="en" w:eastAsia="en-AU"/>
        </w:rPr>
        <w:t xml:space="preserve">funding is allocated </w:t>
      </w:r>
      <w:r w:rsidR="002104B8" w:rsidRPr="005727F1">
        <w:rPr>
          <w:rFonts w:ascii="VIC-Regular" w:eastAsia="Times New Roman" w:hAnsi="VIC-Regular" w:cs="Times New Roman"/>
          <w:color w:val="011A3C"/>
          <w:sz w:val="24"/>
          <w:szCs w:val="24"/>
          <w:lang w:val="en" w:eastAsia="en-AU"/>
        </w:rPr>
        <w:t>through</w:t>
      </w:r>
      <w:r w:rsidR="002104B8">
        <w:rPr>
          <w:rFonts w:ascii="VIC-Regular" w:eastAsia="Times New Roman" w:hAnsi="VIC-Regular" w:cs="Times New Roman"/>
          <w:color w:val="011A3C"/>
          <w:sz w:val="24"/>
          <w:szCs w:val="24"/>
          <w:lang w:val="en" w:eastAsia="en-AU"/>
        </w:rPr>
        <w:t xml:space="preserve"> credit </w:t>
      </w:r>
      <w:r w:rsidR="002104B8" w:rsidRPr="005727F1">
        <w:rPr>
          <w:rFonts w:ascii="VIC-Regular" w:eastAsia="Times New Roman" w:hAnsi="VIC-Regular" w:cs="Times New Roman"/>
          <w:color w:val="011A3C"/>
          <w:sz w:val="24"/>
          <w:szCs w:val="24"/>
          <w:lang w:val="en" w:eastAsia="en-AU"/>
        </w:rPr>
        <w:t>funding</w:t>
      </w:r>
      <w:r w:rsidR="002104B8">
        <w:rPr>
          <w:rFonts w:ascii="VIC-Regular" w:eastAsia="Times New Roman" w:hAnsi="VIC-Regular" w:cs="Times New Roman"/>
          <w:color w:val="011A3C"/>
          <w:sz w:val="24"/>
          <w:szCs w:val="24"/>
          <w:lang w:val="en" w:eastAsia="en-AU"/>
        </w:rPr>
        <w:t>.</w:t>
      </w:r>
    </w:p>
    <w:p w14:paraId="71DCCEB6" w14:textId="77777777" w:rsidR="002104B8" w:rsidRPr="0082626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Calculation</w:t>
      </w:r>
    </w:p>
    <w:p w14:paraId="3EF31C9F" w14:textId="5CA2394F" w:rsidR="002104B8" w:rsidRPr="004E4E6E"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E4E6E">
        <w:rPr>
          <w:rFonts w:ascii="VIC-Regular" w:eastAsia="Times New Roman" w:hAnsi="VIC-Regular" w:cs="Times New Roman"/>
          <w:color w:val="011A3C"/>
          <w:sz w:val="24"/>
          <w:szCs w:val="24"/>
          <w:lang w:val="en" w:eastAsia="en-AU"/>
        </w:rPr>
        <w:t xml:space="preserve">Bus coordination funding = School EFT * </w:t>
      </w:r>
      <w:r w:rsidR="00BD04CA">
        <w:rPr>
          <w:rFonts w:ascii="VIC-Regular" w:eastAsia="Times New Roman" w:hAnsi="VIC-Regular" w:cs="Times New Roman"/>
          <w:color w:val="011A3C"/>
          <w:sz w:val="24"/>
          <w:szCs w:val="24"/>
          <w:lang w:val="en" w:eastAsia="en-AU"/>
        </w:rPr>
        <w:t xml:space="preserve">ES </w:t>
      </w:r>
      <w:r w:rsidRPr="004E4E6E">
        <w:rPr>
          <w:rFonts w:ascii="VIC-Regular" w:eastAsia="Times New Roman" w:hAnsi="VIC-Regular" w:cs="Times New Roman"/>
          <w:color w:val="011A3C"/>
          <w:sz w:val="24"/>
          <w:szCs w:val="24"/>
          <w:lang w:val="en" w:eastAsia="en-AU"/>
        </w:rPr>
        <w:t>Rate</w:t>
      </w:r>
    </w:p>
    <w:p w14:paraId="0F9DC706" w14:textId="567D74E6" w:rsidR="002104B8" w:rsidRPr="0082626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Rates 202</w:t>
      </w:r>
      <w:r w:rsidR="00BD04CA">
        <w:rPr>
          <w:rFonts w:ascii="VIC-Bold" w:eastAsia="Times New Roman" w:hAnsi="VIC-Bold" w:cs="Times New Roman"/>
          <w:b/>
          <w:bCs/>
          <w:color w:val="011A3C"/>
          <w:sz w:val="27"/>
          <w:szCs w:val="27"/>
          <w:lang w:val="en" w:eastAsia="en-AU"/>
        </w:rPr>
        <w:t>1</w:t>
      </w:r>
    </w:p>
    <w:p w14:paraId="5E604DF8" w14:textId="4F1FEE09" w:rsidR="009753DC" w:rsidRPr="004D1CF3" w:rsidRDefault="002104B8"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 xml:space="preserve">The Annual Full Time </w:t>
      </w:r>
      <w:r w:rsidR="00BD04CA">
        <w:rPr>
          <w:rFonts w:ascii="VIC-Regular" w:eastAsia="Times New Roman" w:hAnsi="VIC-Regular" w:cs="Times New Roman"/>
          <w:color w:val="011A3C"/>
          <w:sz w:val="24"/>
          <w:szCs w:val="24"/>
          <w:lang w:val="en" w:eastAsia="en-AU"/>
        </w:rPr>
        <w:t xml:space="preserve">ES </w:t>
      </w:r>
      <w:r w:rsidRPr="00D53AEB">
        <w:rPr>
          <w:rFonts w:ascii="VIC-Regular" w:eastAsia="Times New Roman" w:hAnsi="VIC-Regular" w:cs="Times New Roman"/>
          <w:color w:val="011A3C"/>
          <w:sz w:val="24"/>
          <w:szCs w:val="24"/>
          <w:lang w:val="en" w:eastAsia="en-AU"/>
        </w:rPr>
        <w:t>Rate is </w:t>
      </w:r>
      <w:r w:rsidR="00BD04CA">
        <w:rPr>
          <w:rFonts w:ascii="VIC-Regular" w:eastAsia="Times New Roman" w:hAnsi="VIC-Regular" w:cs="Times New Roman"/>
          <w:color w:val="011A3C"/>
          <w:sz w:val="24"/>
          <w:szCs w:val="24"/>
          <w:lang w:val="en" w:eastAsia="en-AU"/>
        </w:rPr>
        <w:t>$</w:t>
      </w:r>
      <w:r w:rsidR="00BD04CA" w:rsidRPr="00BD04CA">
        <w:rPr>
          <w:rFonts w:ascii="VIC-Regular" w:eastAsia="Times New Roman" w:hAnsi="VIC-Regular" w:cs="Times New Roman"/>
          <w:color w:val="011A3C"/>
          <w:sz w:val="24"/>
          <w:szCs w:val="24"/>
          <w:lang w:val="en" w:eastAsia="en-AU"/>
        </w:rPr>
        <w:t>84,051</w:t>
      </w:r>
      <w:r w:rsidR="00BD04CA" w:rsidRPr="00BD04CA" w:rsidDel="00BD04CA">
        <w:rPr>
          <w:rFonts w:ascii="VIC-Regular" w:eastAsia="Times New Roman" w:hAnsi="VIC-Regular" w:cs="Times New Roman"/>
          <w:color w:val="011A3C"/>
          <w:sz w:val="24"/>
          <w:szCs w:val="24"/>
          <w:lang w:val="en" w:eastAsia="en-AU"/>
        </w:rPr>
        <w:t xml:space="preserve"> </w:t>
      </w:r>
    </w:p>
    <w:p w14:paraId="2F9C15BC" w14:textId="77777777" w:rsidR="009753DC" w:rsidRDefault="009753DC" w:rsidP="009753DC">
      <w:r>
        <w:br w:type="page"/>
      </w:r>
    </w:p>
    <w:p w14:paraId="11FAA3B1" w14:textId="77777777" w:rsidR="009753DC" w:rsidRPr="00D53AEB" w:rsidRDefault="009753DC" w:rsidP="00842992">
      <w:pPr>
        <w:pStyle w:val="Heading2"/>
      </w:pPr>
      <w:bookmarkStart w:id="60" w:name="_Toc52796206"/>
      <w:r w:rsidRPr="00D53AEB">
        <w:lastRenderedPageBreak/>
        <w:t>Country Area Program Grant (Reference 45)</w:t>
      </w:r>
      <w:bookmarkEnd w:id="60"/>
    </w:p>
    <w:p w14:paraId="6787D7F2"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The purpose of this funding line is to improve the capacity of country schools to broaden</w:t>
      </w:r>
    </w:p>
    <w:p w14:paraId="61745AFE"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the curriculum, improve ICT, professional development and promote networking.</w:t>
      </w:r>
    </w:p>
    <w:p w14:paraId="58CCC2E5" w14:textId="77777777" w:rsid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Funding is provided to schools with campuses meeting the eligibility criteria. Allocations comprise base and per student amounts, which increase with distance from Melbourne.</w:t>
      </w:r>
    </w:p>
    <w:p w14:paraId="127C9763" w14:textId="7777777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Eligibility criteria</w:t>
      </w:r>
    </w:p>
    <w:p w14:paraId="20BBF5D4"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 xml:space="preserve">Campuses of any type that meet all of the following location criteria are eligible: </w:t>
      </w:r>
    </w:p>
    <w:p w14:paraId="65D28DCC" w14:textId="77777777" w:rsidR="00DA1745" w:rsidRPr="00DA1745" w:rsidRDefault="00DA1745" w:rsidP="00DA1745">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more than 150km from Melbourne (as measured from GPO), and</w:t>
      </w:r>
    </w:p>
    <w:p w14:paraId="5996A566" w14:textId="77777777" w:rsidR="00DA1745" w:rsidRPr="00DA1745" w:rsidRDefault="00DA1745" w:rsidP="00DA1745">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more than 25km from the nearest provincial centre (town hall or similar used as point of measure, see below) with a population of more than 20,000 as measured according to Australian Bureau of Statistics (ABS) Urban Centres and Localities (UCL)2016)</w:t>
      </w:r>
    </w:p>
    <w:p w14:paraId="03540F2D" w14:textId="77777777" w:rsidR="00DA1745" w:rsidRPr="00DA1745" w:rsidRDefault="00DA1745" w:rsidP="00DA1745">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in a community with a population of less than 5000 (as measured according to UCL 2016).</w:t>
      </w:r>
    </w:p>
    <w:p w14:paraId="437BB205" w14:textId="77777777" w:rsidR="00DA1745" w:rsidRDefault="00DA1745" w:rsidP="00DA1745">
      <w:pPr>
        <w:spacing w:after="0" w:line="240" w:lineRule="auto"/>
        <w:rPr>
          <w:sz w:val="24"/>
          <w:szCs w:val="24"/>
        </w:rPr>
      </w:pPr>
      <w:r>
        <w:rPr>
          <w:sz w:val="24"/>
          <w:szCs w:val="24"/>
        </w:rPr>
        <w:t>Table of Provincial Centres with a population of more than 20,000 according to UCL 2016.</w:t>
      </w:r>
    </w:p>
    <w:tbl>
      <w:tblPr>
        <w:tblW w:w="8222" w:type="dxa"/>
        <w:tblLook w:val="04A0" w:firstRow="1" w:lastRow="0" w:firstColumn="1" w:lastColumn="0" w:noHBand="0" w:noVBand="1"/>
      </w:tblPr>
      <w:tblGrid>
        <w:gridCol w:w="2694"/>
        <w:gridCol w:w="5528"/>
      </w:tblGrid>
      <w:tr w:rsidR="00DA1745" w:rsidRPr="00E53625" w14:paraId="7F9AF903" w14:textId="77777777" w:rsidTr="001F2ECD">
        <w:trPr>
          <w:trHeight w:val="300"/>
        </w:trPr>
        <w:tc>
          <w:tcPr>
            <w:tcW w:w="2694" w:type="dxa"/>
            <w:shd w:val="clear" w:color="auto" w:fill="B4C6E7" w:themeFill="accent1" w:themeFillTint="66"/>
            <w:noWrap/>
            <w:vAlign w:val="bottom"/>
            <w:hideMark/>
          </w:tcPr>
          <w:p w14:paraId="7B692FE0" w14:textId="77777777" w:rsidR="00DA1745" w:rsidRPr="00371B75" w:rsidRDefault="00DA1745" w:rsidP="001F2ECD">
            <w:pPr>
              <w:spacing w:after="0" w:line="240" w:lineRule="auto"/>
              <w:rPr>
                <w:rFonts w:ascii="Calibri" w:eastAsia="Times New Roman" w:hAnsi="Calibri" w:cs="Calibri"/>
                <w:b/>
                <w:bCs/>
                <w:color w:val="323E4F" w:themeColor="text2" w:themeShade="BF"/>
                <w:lang w:eastAsia="en-AU"/>
              </w:rPr>
            </w:pPr>
            <w:r w:rsidRPr="00371B75">
              <w:rPr>
                <w:rFonts w:ascii="Calibri" w:hAnsi="Calibri" w:cs="Calibri"/>
                <w:b/>
                <w:bCs/>
                <w:color w:val="323E4F" w:themeColor="text2" w:themeShade="BF"/>
              </w:rPr>
              <w:t>Provincial Centre</w:t>
            </w:r>
          </w:p>
        </w:tc>
        <w:tc>
          <w:tcPr>
            <w:tcW w:w="5528" w:type="dxa"/>
            <w:shd w:val="clear" w:color="auto" w:fill="B4C6E7" w:themeFill="accent1" w:themeFillTint="66"/>
            <w:noWrap/>
            <w:vAlign w:val="bottom"/>
            <w:hideMark/>
          </w:tcPr>
          <w:p w14:paraId="0D5E8EDA" w14:textId="77777777" w:rsidR="00DA1745" w:rsidRPr="00371B75" w:rsidRDefault="00DA1745" w:rsidP="001F2ECD">
            <w:pPr>
              <w:spacing w:after="0" w:line="240" w:lineRule="auto"/>
              <w:rPr>
                <w:rFonts w:ascii="Calibri" w:eastAsia="Times New Roman" w:hAnsi="Calibri" w:cs="Calibri"/>
                <w:b/>
                <w:bCs/>
                <w:color w:val="323E4F" w:themeColor="text2" w:themeShade="BF"/>
                <w:lang w:eastAsia="en-AU"/>
              </w:rPr>
            </w:pPr>
            <w:r w:rsidRPr="00371B75">
              <w:rPr>
                <w:rFonts w:ascii="Calibri" w:hAnsi="Calibri" w:cs="Calibri"/>
                <w:b/>
                <w:bCs/>
                <w:color w:val="323E4F" w:themeColor="text2" w:themeShade="BF"/>
              </w:rPr>
              <w:t>Point of measurement</w:t>
            </w:r>
          </w:p>
        </w:tc>
      </w:tr>
      <w:tr w:rsidR="00DA1745" w:rsidRPr="00E53625" w14:paraId="5C688ECB" w14:textId="77777777" w:rsidTr="001F2ECD">
        <w:trPr>
          <w:trHeight w:val="300"/>
        </w:trPr>
        <w:tc>
          <w:tcPr>
            <w:tcW w:w="2694" w:type="dxa"/>
            <w:shd w:val="clear" w:color="auto" w:fill="auto"/>
            <w:noWrap/>
            <w:vAlign w:val="bottom"/>
            <w:hideMark/>
          </w:tcPr>
          <w:p w14:paraId="774FF4A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Geelong</w:t>
            </w:r>
          </w:p>
        </w:tc>
        <w:tc>
          <w:tcPr>
            <w:tcW w:w="5528" w:type="dxa"/>
            <w:shd w:val="clear" w:color="auto" w:fill="auto"/>
            <w:noWrap/>
            <w:vAlign w:val="bottom"/>
            <w:hideMark/>
          </w:tcPr>
          <w:p w14:paraId="5169A194"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Geelong City Hall</w:t>
            </w:r>
          </w:p>
        </w:tc>
      </w:tr>
      <w:tr w:rsidR="00DA1745" w:rsidRPr="00E53625" w14:paraId="1C1C8635" w14:textId="77777777" w:rsidTr="001F2ECD">
        <w:trPr>
          <w:trHeight w:val="300"/>
        </w:trPr>
        <w:tc>
          <w:tcPr>
            <w:tcW w:w="2694" w:type="dxa"/>
            <w:shd w:val="clear" w:color="auto" w:fill="D9E2F3" w:themeFill="accent1" w:themeFillTint="33"/>
            <w:noWrap/>
            <w:vAlign w:val="bottom"/>
            <w:hideMark/>
          </w:tcPr>
          <w:p w14:paraId="323AEE65"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Ballarat</w:t>
            </w:r>
          </w:p>
        </w:tc>
        <w:tc>
          <w:tcPr>
            <w:tcW w:w="5528" w:type="dxa"/>
            <w:shd w:val="clear" w:color="auto" w:fill="D9E2F3" w:themeFill="accent1" w:themeFillTint="33"/>
            <w:noWrap/>
            <w:vAlign w:val="bottom"/>
            <w:hideMark/>
          </w:tcPr>
          <w:p w14:paraId="19D85AB5"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Ballarat Town Hall</w:t>
            </w:r>
          </w:p>
        </w:tc>
      </w:tr>
      <w:tr w:rsidR="00DA1745" w:rsidRPr="00E53625" w14:paraId="69530063" w14:textId="77777777" w:rsidTr="001F2ECD">
        <w:trPr>
          <w:trHeight w:val="300"/>
        </w:trPr>
        <w:tc>
          <w:tcPr>
            <w:tcW w:w="2694" w:type="dxa"/>
            <w:shd w:val="clear" w:color="auto" w:fill="auto"/>
            <w:noWrap/>
            <w:vAlign w:val="bottom"/>
            <w:hideMark/>
          </w:tcPr>
          <w:p w14:paraId="0D55586D"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Bendigo</w:t>
            </w:r>
          </w:p>
        </w:tc>
        <w:tc>
          <w:tcPr>
            <w:tcW w:w="5528" w:type="dxa"/>
            <w:shd w:val="clear" w:color="auto" w:fill="auto"/>
            <w:noWrap/>
            <w:vAlign w:val="bottom"/>
            <w:hideMark/>
          </w:tcPr>
          <w:p w14:paraId="1E2E17C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Bendigo Town Hall</w:t>
            </w:r>
          </w:p>
        </w:tc>
      </w:tr>
      <w:tr w:rsidR="00DA1745" w:rsidRPr="00E53625" w14:paraId="1290BD05" w14:textId="77777777" w:rsidTr="001F2ECD">
        <w:trPr>
          <w:trHeight w:val="300"/>
        </w:trPr>
        <w:tc>
          <w:tcPr>
            <w:tcW w:w="2694" w:type="dxa"/>
            <w:shd w:val="clear" w:color="auto" w:fill="D9E2F3" w:themeFill="accent1" w:themeFillTint="33"/>
            <w:noWrap/>
            <w:vAlign w:val="bottom"/>
            <w:hideMark/>
          </w:tcPr>
          <w:p w14:paraId="3042C0AA"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Shepparton-Mooroopna</w:t>
            </w:r>
          </w:p>
        </w:tc>
        <w:tc>
          <w:tcPr>
            <w:tcW w:w="5528" w:type="dxa"/>
            <w:shd w:val="clear" w:color="auto" w:fill="D9E2F3" w:themeFill="accent1" w:themeFillTint="33"/>
            <w:noWrap/>
            <w:vAlign w:val="bottom"/>
            <w:hideMark/>
          </w:tcPr>
          <w:p w14:paraId="0BE6066A"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Greater Shepparton City Council</w:t>
            </w:r>
          </w:p>
        </w:tc>
      </w:tr>
      <w:tr w:rsidR="00DA1745" w:rsidRPr="00E53625" w14:paraId="7218CCA9" w14:textId="77777777" w:rsidTr="001F2ECD">
        <w:trPr>
          <w:trHeight w:val="300"/>
        </w:trPr>
        <w:tc>
          <w:tcPr>
            <w:tcW w:w="2694" w:type="dxa"/>
            <w:shd w:val="clear" w:color="auto" w:fill="auto"/>
            <w:noWrap/>
            <w:vAlign w:val="bottom"/>
            <w:hideMark/>
          </w:tcPr>
          <w:p w14:paraId="55B0183F"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Warrnambool</w:t>
            </w:r>
          </w:p>
        </w:tc>
        <w:tc>
          <w:tcPr>
            <w:tcW w:w="5528" w:type="dxa"/>
            <w:shd w:val="clear" w:color="auto" w:fill="auto"/>
            <w:noWrap/>
            <w:vAlign w:val="bottom"/>
            <w:hideMark/>
          </w:tcPr>
          <w:p w14:paraId="5F9F01E6"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Warrnambool City Council</w:t>
            </w:r>
          </w:p>
        </w:tc>
      </w:tr>
      <w:tr w:rsidR="00DA1745" w:rsidRPr="00E53625" w14:paraId="069ADD3C" w14:textId="77777777" w:rsidTr="001F2ECD">
        <w:trPr>
          <w:trHeight w:val="300"/>
        </w:trPr>
        <w:tc>
          <w:tcPr>
            <w:tcW w:w="2694" w:type="dxa"/>
            <w:shd w:val="clear" w:color="auto" w:fill="D9E2F3" w:themeFill="accent1" w:themeFillTint="33"/>
            <w:noWrap/>
            <w:vAlign w:val="bottom"/>
            <w:hideMark/>
          </w:tcPr>
          <w:p w14:paraId="3C70761E"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Albury-Wodonga</w:t>
            </w:r>
          </w:p>
        </w:tc>
        <w:tc>
          <w:tcPr>
            <w:tcW w:w="5528" w:type="dxa"/>
            <w:shd w:val="clear" w:color="auto" w:fill="D9E2F3" w:themeFill="accent1" w:themeFillTint="33"/>
            <w:noWrap/>
            <w:vAlign w:val="bottom"/>
            <w:hideMark/>
          </w:tcPr>
          <w:p w14:paraId="4170272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Wodonga Council</w:t>
            </w:r>
          </w:p>
        </w:tc>
      </w:tr>
      <w:tr w:rsidR="00DA1745" w:rsidRPr="00E53625" w14:paraId="3E680D3F" w14:textId="77777777" w:rsidTr="001F2ECD">
        <w:trPr>
          <w:trHeight w:val="300"/>
        </w:trPr>
        <w:tc>
          <w:tcPr>
            <w:tcW w:w="2694" w:type="dxa"/>
            <w:shd w:val="clear" w:color="auto" w:fill="auto"/>
            <w:noWrap/>
            <w:vAlign w:val="bottom"/>
            <w:hideMark/>
          </w:tcPr>
          <w:p w14:paraId="7E260702"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Mildura</w:t>
            </w:r>
          </w:p>
        </w:tc>
        <w:tc>
          <w:tcPr>
            <w:tcW w:w="5528" w:type="dxa"/>
            <w:shd w:val="clear" w:color="auto" w:fill="auto"/>
            <w:noWrap/>
            <w:vAlign w:val="bottom"/>
            <w:hideMark/>
          </w:tcPr>
          <w:p w14:paraId="13E7CB1F"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Mildura Rural City Council</w:t>
            </w:r>
          </w:p>
        </w:tc>
      </w:tr>
      <w:tr w:rsidR="00DA1745" w:rsidRPr="00E53625" w14:paraId="7FCC7DE7" w14:textId="77777777" w:rsidTr="001F2ECD">
        <w:trPr>
          <w:trHeight w:val="300"/>
        </w:trPr>
        <w:tc>
          <w:tcPr>
            <w:tcW w:w="2694" w:type="dxa"/>
            <w:shd w:val="clear" w:color="auto" w:fill="D9E2F3" w:themeFill="accent1" w:themeFillTint="33"/>
            <w:noWrap/>
            <w:vAlign w:val="bottom"/>
            <w:hideMark/>
          </w:tcPr>
          <w:p w14:paraId="38D11170"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Traralgon</w:t>
            </w:r>
          </w:p>
        </w:tc>
        <w:tc>
          <w:tcPr>
            <w:tcW w:w="5528" w:type="dxa"/>
            <w:shd w:val="clear" w:color="auto" w:fill="D9E2F3" w:themeFill="accent1" w:themeFillTint="33"/>
            <w:noWrap/>
            <w:vAlign w:val="bottom"/>
            <w:hideMark/>
          </w:tcPr>
          <w:p w14:paraId="4796D093"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Traralgon LaTrobe City Council Service Centre and Library</w:t>
            </w:r>
          </w:p>
        </w:tc>
      </w:tr>
      <w:tr w:rsidR="00DA1745" w:rsidRPr="00E53625" w14:paraId="7921B3F2" w14:textId="77777777" w:rsidTr="001F2ECD">
        <w:trPr>
          <w:trHeight w:val="300"/>
        </w:trPr>
        <w:tc>
          <w:tcPr>
            <w:tcW w:w="2694" w:type="dxa"/>
            <w:shd w:val="clear" w:color="auto" w:fill="auto"/>
            <w:noWrap/>
            <w:vAlign w:val="bottom"/>
            <w:hideMark/>
          </w:tcPr>
          <w:p w14:paraId="6306F356"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Melton</w:t>
            </w:r>
          </w:p>
        </w:tc>
        <w:tc>
          <w:tcPr>
            <w:tcW w:w="5528" w:type="dxa"/>
            <w:shd w:val="clear" w:color="auto" w:fill="auto"/>
            <w:noWrap/>
            <w:vAlign w:val="bottom"/>
            <w:hideMark/>
          </w:tcPr>
          <w:p w14:paraId="1CB22427"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Melton Community Hall</w:t>
            </w:r>
          </w:p>
        </w:tc>
      </w:tr>
      <w:tr w:rsidR="00DA1745" w:rsidRPr="00E53625" w14:paraId="475908A5" w14:textId="77777777" w:rsidTr="001F2ECD">
        <w:trPr>
          <w:trHeight w:val="300"/>
        </w:trPr>
        <w:tc>
          <w:tcPr>
            <w:tcW w:w="2694" w:type="dxa"/>
            <w:shd w:val="clear" w:color="auto" w:fill="D9E2F3" w:themeFill="accent1" w:themeFillTint="33"/>
            <w:noWrap/>
            <w:vAlign w:val="bottom"/>
            <w:hideMark/>
          </w:tcPr>
          <w:p w14:paraId="1D014B92"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Sunbury</w:t>
            </w:r>
          </w:p>
        </w:tc>
        <w:tc>
          <w:tcPr>
            <w:tcW w:w="5528" w:type="dxa"/>
            <w:shd w:val="clear" w:color="auto" w:fill="D9E2F3" w:themeFill="accent1" w:themeFillTint="33"/>
            <w:noWrap/>
            <w:vAlign w:val="bottom"/>
            <w:hideMark/>
          </w:tcPr>
          <w:p w14:paraId="55BCCEDE" w14:textId="77777777" w:rsidR="00DA1745" w:rsidRPr="00371B75" w:rsidRDefault="00DA1745" w:rsidP="001F2ECD">
            <w:pPr>
              <w:spacing w:after="0" w:line="240" w:lineRule="auto"/>
              <w:rPr>
                <w:rFonts w:ascii="Calibri" w:eastAsia="Times New Roman" w:hAnsi="Calibri" w:cs="Calibri"/>
                <w:color w:val="323E4F" w:themeColor="text2" w:themeShade="BF"/>
                <w:lang w:eastAsia="en-AU"/>
              </w:rPr>
            </w:pPr>
            <w:r w:rsidRPr="00371B75">
              <w:rPr>
                <w:rFonts w:ascii="Calibri" w:eastAsia="Times New Roman" w:hAnsi="Calibri" w:cs="Calibri"/>
                <w:color w:val="323E4F" w:themeColor="text2" w:themeShade="BF"/>
                <w:lang w:eastAsia="en-AU"/>
              </w:rPr>
              <w:t>Sunbury Memorial Hall</w:t>
            </w:r>
          </w:p>
        </w:tc>
      </w:tr>
    </w:tbl>
    <w:p w14:paraId="0CE6C9AC" w14:textId="3962ABF6" w:rsidR="002104B8" w:rsidRPr="004E4E6E"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w:t>
      </w:r>
      <w:r w:rsidRPr="005727F1">
        <w:rPr>
          <w:rFonts w:ascii="VIC-Regular" w:eastAsia="Times New Roman" w:hAnsi="VIC-Regular" w:cs="Times New Roman"/>
          <w:color w:val="011A3C"/>
          <w:sz w:val="24"/>
          <w:szCs w:val="24"/>
          <w:lang w:val="en" w:eastAsia="en-AU"/>
        </w:rPr>
        <w:t xml:space="preserve"> Confirmed</w:t>
      </w:r>
      <w:r w:rsidRPr="00955EC5">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and Revised cycles,</w:t>
      </w:r>
      <w:r>
        <w:rPr>
          <w:rFonts w:ascii="VIC-Regular" w:eastAsia="Times New Roman" w:hAnsi="VIC-Regular" w:cs="Times New Roman"/>
          <w:color w:val="011A3C"/>
          <w:sz w:val="24"/>
          <w:szCs w:val="24"/>
          <w:lang w:val="en" w:eastAsia="en-AU"/>
        </w:rPr>
        <w:t xml:space="preserve"> funding is allocated</w:t>
      </w:r>
      <w:r w:rsidRPr="005727F1">
        <w:rPr>
          <w:rFonts w:ascii="VIC-Regular" w:eastAsia="Times New Roman" w:hAnsi="VIC-Regular" w:cs="Times New Roman"/>
          <w:color w:val="011A3C"/>
          <w:sz w:val="24"/>
          <w:szCs w:val="24"/>
          <w:lang w:val="en" w:eastAsia="en-AU"/>
        </w:rPr>
        <w:t xml:space="preserve"> through</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cash funding</w:t>
      </w:r>
      <w:r>
        <w:rPr>
          <w:rFonts w:ascii="VIC-Regular" w:eastAsia="Times New Roman" w:hAnsi="VIC-Regular" w:cs="Times New Roman"/>
          <w:color w:val="011A3C"/>
          <w:sz w:val="24"/>
          <w:szCs w:val="24"/>
          <w:lang w:val="en" w:eastAsia="en-AU"/>
        </w:rPr>
        <w:t>.</w:t>
      </w:r>
    </w:p>
    <w:p w14:paraId="2B00FAE6" w14:textId="5AF6CD62" w:rsidR="009753DC" w:rsidRPr="0082626F" w:rsidRDefault="009753DC" w:rsidP="004D1CF3">
      <w:pPr>
        <w:keepNext/>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82626F">
        <w:rPr>
          <w:rFonts w:ascii="VIC-Bold" w:eastAsia="Times New Roman" w:hAnsi="VIC-Bold" w:cs="Times New Roman"/>
          <w:b/>
          <w:bCs/>
          <w:color w:val="011A3C"/>
          <w:sz w:val="26"/>
          <w:szCs w:val="28"/>
          <w:lang w:val="en" w:eastAsia="en-AU"/>
        </w:rPr>
        <w:lastRenderedPageBreak/>
        <w:t>Calculation</w:t>
      </w:r>
    </w:p>
    <w:p w14:paraId="3D8AD9A6" w14:textId="77777777" w:rsidR="00DA1745" w:rsidRP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Allocation = [(Base + Primary Enrolment * Per Primary Student Rate)+(Base + Secondary Enrolment * Per Secondary Student Rate)] * [1 + (Distance from Melbourne / 150km)]</w:t>
      </w:r>
    </w:p>
    <w:p w14:paraId="37B8136B" w14:textId="77777777" w:rsidR="00DA1745"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Note: The campus receives each Base only when the relevant enrolment is more than zero. Primary enrolments included in calculation are limited to a maximum of 300 students. Secondary enrolments included in calculation are limited to a maximum of 500 students</w:t>
      </w:r>
    </w:p>
    <w:p w14:paraId="343FE83B" w14:textId="4801E39B"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DA1745">
        <w:rPr>
          <w:rFonts w:ascii="VIC-Bold" w:eastAsia="Times New Roman" w:hAnsi="VIC-Bold" w:cs="Times New Roman"/>
          <w:b/>
          <w:bCs/>
          <w:color w:val="011A3C"/>
          <w:sz w:val="27"/>
          <w:szCs w:val="27"/>
          <w:lang w:val="en" w:eastAsia="en-AU"/>
        </w:rPr>
        <w:t>1</w:t>
      </w:r>
    </w:p>
    <w:p w14:paraId="149C6B09" w14:textId="09B5C259" w:rsidR="00A12061" w:rsidRDefault="009753DC" w:rsidP="00F74042">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DA1745">
        <w:rPr>
          <w:rFonts w:ascii="VIC-Regular" w:eastAsia="Times New Roman" w:hAnsi="VIC-Regular" w:cs="Times New Roman"/>
          <w:color w:val="011A3C"/>
          <w:sz w:val="24"/>
          <w:szCs w:val="24"/>
          <w:lang w:val="en" w:eastAsia="en-AU"/>
        </w:rPr>
        <w:t xml:space="preserve">Base amount — </w:t>
      </w:r>
      <w:r w:rsidR="00DA1745">
        <w:rPr>
          <w:rFonts w:ascii="VIC-Regular" w:eastAsia="Times New Roman" w:hAnsi="VIC-Regular" w:cs="Times New Roman"/>
          <w:color w:val="011A3C"/>
          <w:sz w:val="24"/>
          <w:szCs w:val="24"/>
          <w:lang w:val="en" w:eastAsia="en-AU"/>
        </w:rPr>
        <w:t>$</w:t>
      </w:r>
      <w:r w:rsidR="00DA1745" w:rsidRPr="00DA1745">
        <w:rPr>
          <w:rFonts w:ascii="VIC-Regular" w:eastAsia="Times New Roman" w:hAnsi="VIC-Regular" w:cs="Times New Roman"/>
          <w:color w:val="011A3C"/>
          <w:sz w:val="24"/>
          <w:szCs w:val="24"/>
          <w:lang w:val="en" w:eastAsia="en-AU"/>
        </w:rPr>
        <w:t>2,114.18</w:t>
      </w:r>
      <w:r w:rsidR="00F1742D">
        <w:rPr>
          <w:rFonts w:ascii="VIC-Regular" w:eastAsia="Times New Roman" w:hAnsi="VIC-Regular" w:cs="Times New Roman"/>
          <w:color w:val="011A3C"/>
          <w:sz w:val="24"/>
          <w:szCs w:val="24"/>
          <w:lang w:val="en" w:eastAsia="en-AU"/>
        </w:rPr>
        <w:t xml:space="preserve"> </w:t>
      </w:r>
      <w:r w:rsidRPr="00CE1887">
        <w:rPr>
          <w:rFonts w:ascii="VIC-Regular" w:eastAsia="Times New Roman" w:hAnsi="VIC-Regular" w:cs="Times New Roman"/>
          <w:color w:val="011A3C"/>
          <w:sz w:val="24"/>
          <w:szCs w:val="24"/>
          <w:lang w:val="en" w:eastAsia="en-AU"/>
        </w:rPr>
        <w:t xml:space="preserve">Primary — </w:t>
      </w:r>
      <w:r w:rsidR="00CE1887">
        <w:rPr>
          <w:rFonts w:ascii="VIC-Regular" w:eastAsia="Times New Roman" w:hAnsi="VIC-Regular" w:cs="Times New Roman"/>
          <w:color w:val="011A3C"/>
          <w:sz w:val="24"/>
          <w:szCs w:val="24"/>
          <w:lang w:val="en" w:eastAsia="en-AU"/>
        </w:rPr>
        <w:t>$</w:t>
      </w:r>
      <w:r w:rsidR="00CE1887" w:rsidRPr="00CE1887">
        <w:rPr>
          <w:rFonts w:ascii="VIC-Regular" w:eastAsia="Times New Roman" w:hAnsi="VIC-Regular" w:cs="Times New Roman"/>
          <w:color w:val="011A3C"/>
          <w:sz w:val="24"/>
          <w:szCs w:val="24"/>
          <w:lang w:val="en" w:eastAsia="en-AU"/>
        </w:rPr>
        <w:t>1.30</w:t>
      </w:r>
      <w:r w:rsidR="00F1742D">
        <w:rPr>
          <w:rFonts w:ascii="VIC-Regular" w:eastAsia="Times New Roman" w:hAnsi="VIC-Regular" w:cs="Times New Roman"/>
          <w:color w:val="011A3C"/>
          <w:sz w:val="24"/>
          <w:szCs w:val="24"/>
          <w:lang w:val="en" w:eastAsia="en-AU"/>
        </w:rPr>
        <w:t xml:space="preserve"> </w:t>
      </w:r>
      <w:r w:rsidRPr="00CE1887">
        <w:rPr>
          <w:rFonts w:ascii="VIC-Regular" w:eastAsia="Times New Roman" w:hAnsi="VIC-Regular" w:cs="Times New Roman"/>
          <w:color w:val="011A3C"/>
          <w:sz w:val="24"/>
          <w:szCs w:val="24"/>
          <w:lang w:val="en" w:eastAsia="en-AU"/>
        </w:rPr>
        <w:t xml:space="preserve">Secondary — </w:t>
      </w:r>
      <w:r w:rsidR="00CE1887">
        <w:rPr>
          <w:rFonts w:ascii="VIC-Regular" w:eastAsia="Times New Roman" w:hAnsi="VIC-Regular" w:cs="Times New Roman"/>
          <w:color w:val="011A3C"/>
          <w:sz w:val="24"/>
          <w:szCs w:val="24"/>
          <w:lang w:val="en" w:eastAsia="en-AU"/>
        </w:rPr>
        <w:t>$</w:t>
      </w:r>
      <w:r w:rsidR="00CE1887" w:rsidRPr="00CE1887">
        <w:rPr>
          <w:rFonts w:ascii="VIC-Regular" w:eastAsia="Times New Roman" w:hAnsi="VIC-Regular" w:cs="Times New Roman"/>
          <w:color w:val="011A3C"/>
          <w:sz w:val="24"/>
          <w:szCs w:val="24"/>
          <w:lang w:val="en" w:eastAsia="en-AU"/>
        </w:rPr>
        <w:t>5.66</w:t>
      </w:r>
    </w:p>
    <w:p w14:paraId="0F6DD481" w14:textId="57B34CF6" w:rsidR="00F74042" w:rsidRPr="00F74042" w:rsidRDefault="00F74042" w:rsidP="00F74042">
      <w:pPr>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F74042">
        <w:rPr>
          <w:rFonts w:ascii="VIC-Bold" w:eastAsia="Times New Roman" w:hAnsi="VIC-Bold" w:cs="Times New Roman"/>
          <w:b/>
          <w:bCs/>
          <w:color w:val="011A3C"/>
          <w:sz w:val="26"/>
          <w:szCs w:val="28"/>
          <w:lang w:val="en" w:eastAsia="en-AU"/>
        </w:rPr>
        <w:t>Other relevant information</w:t>
      </w:r>
    </w:p>
    <w:p w14:paraId="037E0D64" w14:textId="77777777" w:rsidR="00F74042" w:rsidRPr="00371B75" w:rsidRDefault="00F74042" w:rsidP="00F74042">
      <w:pPr>
        <w:pStyle w:val="ListParagraph"/>
        <w:numPr>
          <w:ilvl w:val="0"/>
          <w:numId w:val="73"/>
        </w:numPr>
        <w:spacing w:after="0" w:line="240" w:lineRule="auto"/>
        <w:rPr>
          <w:color w:val="323E4F" w:themeColor="text2" w:themeShade="BF"/>
          <w:sz w:val="24"/>
          <w:szCs w:val="24"/>
        </w:rPr>
      </w:pPr>
      <w:r w:rsidRPr="00371B75">
        <w:rPr>
          <w:color w:val="323E4F" w:themeColor="text2" w:themeShade="BF"/>
          <w:sz w:val="24"/>
          <w:szCs w:val="24"/>
        </w:rPr>
        <w:t>It is intended that location measures will be updated with the release of new ABS data every 5 years. The next release is scheduled in 2021.</w:t>
      </w:r>
    </w:p>
    <w:p w14:paraId="12AB42A8" w14:textId="77777777" w:rsidR="00F74042" w:rsidRPr="00371B75" w:rsidRDefault="00F74042" w:rsidP="00F74042">
      <w:pPr>
        <w:pStyle w:val="ListParagraph"/>
        <w:numPr>
          <w:ilvl w:val="0"/>
          <w:numId w:val="73"/>
        </w:numPr>
        <w:spacing w:after="0" w:line="240" w:lineRule="auto"/>
        <w:rPr>
          <w:color w:val="323E4F" w:themeColor="text2" w:themeShade="BF"/>
          <w:sz w:val="24"/>
          <w:szCs w:val="24"/>
        </w:rPr>
      </w:pPr>
      <w:r w:rsidRPr="00371B75">
        <w:rPr>
          <w:color w:val="323E4F" w:themeColor="text2" w:themeShade="BF"/>
          <w:sz w:val="24"/>
          <w:szCs w:val="24"/>
        </w:rPr>
        <w:t>School distances from provincial centres and Melbourne GPO are measured via road distances.</w:t>
      </w:r>
    </w:p>
    <w:p w14:paraId="6C5F29E4" w14:textId="77777777" w:rsidR="00F74042" w:rsidRPr="00371B75" w:rsidRDefault="00F74042" w:rsidP="00F74042">
      <w:pPr>
        <w:pStyle w:val="ListParagraph"/>
        <w:numPr>
          <w:ilvl w:val="0"/>
          <w:numId w:val="73"/>
        </w:numPr>
        <w:spacing w:after="0" w:line="240" w:lineRule="auto"/>
        <w:rPr>
          <w:color w:val="323E4F" w:themeColor="text2" w:themeShade="BF"/>
          <w:sz w:val="24"/>
          <w:szCs w:val="24"/>
        </w:rPr>
      </w:pPr>
      <w:r w:rsidRPr="00371B75">
        <w:rPr>
          <w:color w:val="323E4F" w:themeColor="text2" w:themeShade="BF"/>
          <w:sz w:val="24"/>
          <w:szCs w:val="24"/>
        </w:rPr>
        <w:t xml:space="preserve">More information can be found </w:t>
      </w:r>
      <w:hyperlink r:id="rId77" w:history="1">
        <w:r w:rsidRPr="00371B75">
          <w:rPr>
            <w:rStyle w:val="Hyperlink"/>
            <w:color w:val="323E4F" w:themeColor="text2" w:themeShade="BF"/>
            <w:sz w:val="24"/>
            <w:szCs w:val="24"/>
          </w:rPr>
          <w:t>here</w:t>
        </w:r>
      </w:hyperlink>
      <w:r w:rsidRPr="00371B75">
        <w:rPr>
          <w:color w:val="323E4F" w:themeColor="text2" w:themeShade="BF"/>
          <w:sz w:val="24"/>
          <w:szCs w:val="24"/>
        </w:rPr>
        <w:t xml:space="preserve"> about UCL definitions and sources.</w:t>
      </w:r>
    </w:p>
    <w:p w14:paraId="657E6EE7" w14:textId="255EF9D9" w:rsidR="00F74042" w:rsidRPr="00371B75" w:rsidRDefault="00F74042" w:rsidP="00F74042">
      <w:pPr>
        <w:pStyle w:val="ListParagraph"/>
        <w:numPr>
          <w:ilvl w:val="0"/>
          <w:numId w:val="73"/>
        </w:numPr>
        <w:spacing w:after="0" w:line="240" w:lineRule="auto"/>
        <w:rPr>
          <w:color w:val="323E4F" w:themeColor="text2" w:themeShade="BF"/>
          <w:sz w:val="24"/>
          <w:szCs w:val="24"/>
        </w:rPr>
      </w:pPr>
      <w:r w:rsidRPr="00371B75">
        <w:rPr>
          <w:color w:val="323E4F" w:themeColor="text2" w:themeShade="BF"/>
          <w:sz w:val="24"/>
          <w:szCs w:val="24"/>
        </w:rPr>
        <w:t>To deter</w:t>
      </w:r>
      <w:r w:rsidR="00740CCF" w:rsidRPr="00371B75">
        <w:rPr>
          <w:color w:val="323E4F" w:themeColor="text2" w:themeShade="BF"/>
          <w:sz w:val="24"/>
          <w:szCs w:val="24"/>
        </w:rPr>
        <w:t>m</w:t>
      </w:r>
      <w:r w:rsidRPr="00371B75">
        <w:rPr>
          <w:color w:val="323E4F" w:themeColor="text2" w:themeShade="BF"/>
          <w:sz w:val="24"/>
          <w:szCs w:val="24"/>
        </w:rPr>
        <w:t xml:space="preserve">ine the UCL your school is in, follow link </w:t>
      </w:r>
      <w:hyperlink r:id="rId78" w:history="1">
        <w:r w:rsidRPr="00371B75">
          <w:rPr>
            <w:rStyle w:val="Hyperlink"/>
            <w:bCs/>
            <w:color w:val="323E4F" w:themeColor="text2" w:themeShade="BF"/>
            <w:sz w:val="24"/>
            <w:szCs w:val="24"/>
            <w:lang w:val="en-US"/>
          </w:rPr>
          <w:t>here</w:t>
        </w:r>
      </w:hyperlink>
      <w:r w:rsidRPr="00371B75">
        <w:rPr>
          <w:color w:val="323E4F" w:themeColor="text2" w:themeShade="BF"/>
          <w:sz w:val="24"/>
          <w:szCs w:val="24"/>
        </w:rPr>
        <w:t>.</w:t>
      </w:r>
    </w:p>
    <w:p w14:paraId="6D23FA09" w14:textId="77777777" w:rsidR="00B25992" w:rsidRPr="00371B75" w:rsidRDefault="00B25992" w:rsidP="004D1CF3">
      <w:pPr>
        <w:rPr>
          <w:rFonts w:ascii="VIC-Regular" w:eastAsia="Times New Roman" w:hAnsi="VIC-Regular" w:cs="Times New Roman"/>
          <w:color w:val="323E4F" w:themeColor="text2" w:themeShade="BF"/>
          <w:sz w:val="24"/>
          <w:szCs w:val="24"/>
          <w:lang w:val="en" w:eastAsia="en-AU"/>
        </w:rPr>
      </w:pPr>
    </w:p>
    <w:p w14:paraId="1CB29710" w14:textId="542A12E7" w:rsidR="00B25992" w:rsidRPr="00B25992" w:rsidRDefault="00B25992" w:rsidP="00B25992">
      <w:pPr>
        <w:rPr>
          <w:rFonts w:ascii="VIC-Regular" w:eastAsia="Times New Roman" w:hAnsi="VIC-Regular" w:cs="Times New Roman"/>
          <w:color w:val="011A3C"/>
          <w:sz w:val="24"/>
          <w:szCs w:val="24"/>
          <w:lang w:val="en" w:eastAsia="en-AU"/>
        </w:rPr>
      </w:pPr>
      <w:r w:rsidRPr="00B25992">
        <w:rPr>
          <w:rFonts w:ascii="VIC-Regular" w:eastAsia="Times New Roman" w:hAnsi="VIC-Regular" w:cs="Times New Roman"/>
          <w:color w:val="011A3C"/>
          <w:sz w:val="24"/>
          <w:szCs w:val="24"/>
          <w:lang w:val="en" w:eastAsia="en-AU"/>
        </w:rPr>
        <w:t>Additionally, schools that may be eligible for transition should refer to:</w:t>
      </w:r>
    </w:p>
    <w:p w14:paraId="0FC82BAC" w14:textId="34C8F656" w:rsidR="009753DC" w:rsidRDefault="00B25992" w:rsidP="009753DC">
      <w:r w:rsidRPr="00B25992">
        <w:rPr>
          <w:rFonts w:ascii="VIC-Regular" w:eastAsia="Times New Roman" w:hAnsi="VIC-Regular" w:cs="Times New Roman"/>
          <w:color w:val="011A3C"/>
          <w:sz w:val="24"/>
          <w:szCs w:val="24"/>
          <w:lang w:val="en" w:eastAsia="en-AU"/>
        </w:rPr>
        <w:t>Transition Funding (Rural) (Ref 126)</w:t>
      </w:r>
      <w:r w:rsidR="009753DC">
        <w:br w:type="page"/>
      </w:r>
    </w:p>
    <w:p w14:paraId="0D401B83" w14:textId="77777777" w:rsidR="009753DC" w:rsidRPr="004C0E60" w:rsidRDefault="009753DC" w:rsidP="00842992">
      <w:pPr>
        <w:pStyle w:val="Heading2"/>
      </w:pPr>
      <w:bookmarkStart w:id="61" w:name="_Toc52796207"/>
      <w:r w:rsidRPr="004C0E60">
        <w:lastRenderedPageBreak/>
        <w:t>MARC/MACC Grant (Reference 46)</w:t>
      </w:r>
      <w:bookmarkEnd w:id="61"/>
    </w:p>
    <w:p w14:paraId="6F6C22A4" w14:textId="1403F35E"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 xml:space="preserve">The total budget for MARC/MACC services includes a credit </w:t>
      </w:r>
      <w:r w:rsidR="00FD588E">
        <w:rPr>
          <w:rFonts w:ascii="VIC-Regular" w:eastAsia="Times New Roman" w:hAnsi="VIC-Regular" w:cs="Times New Roman"/>
          <w:color w:val="011A3C"/>
          <w:sz w:val="24"/>
          <w:szCs w:val="24"/>
          <w:lang w:val="en" w:eastAsia="en-AU"/>
        </w:rPr>
        <w:t xml:space="preserve">allocation for the </w:t>
      </w:r>
      <w:r w:rsidRPr="004C0E60">
        <w:rPr>
          <w:rFonts w:ascii="VIC-Regular" w:eastAsia="Times New Roman" w:hAnsi="VIC-Regular" w:cs="Times New Roman"/>
          <w:color w:val="011A3C"/>
          <w:sz w:val="24"/>
          <w:szCs w:val="24"/>
          <w:lang w:val="en" w:eastAsia="en-AU"/>
        </w:rPr>
        <w:t>teacher</w:t>
      </w:r>
      <w:r w:rsidR="00FD588E">
        <w:rPr>
          <w:rFonts w:ascii="VIC-Regular" w:eastAsia="Times New Roman" w:hAnsi="VIC-Regular" w:cs="Times New Roman"/>
          <w:color w:val="011A3C"/>
          <w:sz w:val="24"/>
          <w:szCs w:val="24"/>
          <w:lang w:val="en" w:eastAsia="en-AU"/>
        </w:rPr>
        <w:t xml:space="preserve"> undertaking MARC/MACC duties</w:t>
      </w:r>
      <w:r w:rsidRPr="004C0E60">
        <w:rPr>
          <w:rFonts w:ascii="VIC-Regular" w:eastAsia="Times New Roman" w:hAnsi="VIC-Regular" w:cs="Times New Roman"/>
          <w:color w:val="011A3C"/>
          <w:sz w:val="24"/>
          <w:szCs w:val="24"/>
          <w:lang w:val="en" w:eastAsia="en-AU"/>
        </w:rPr>
        <w:t xml:space="preserve"> (see </w:t>
      </w:r>
      <w:hyperlink r:id="rId79" w:history="1">
        <w:r w:rsidRPr="004C0E60">
          <w:rPr>
            <w:rFonts w:ascii="VIC-Regular" w:eastAsia="Times New Roman" w:hAnsi="VIC-Regular" w:cs="Times New Roman"/>
            <w:color w:val="011A3C"/>
            <w:sz w:val="24"/>
            <w:szCs w:val="24"/>
            <w:lang w:val="en" w:eastAsia="en-AU"/>
          </w:rPr>
          <w:t>Reference 40</w:t>
        </w:r>
      </w:hyperlink>
      <w:r w:rsidRPr="004C0E60">
        <w:rPr>
          <w:rFonts w:ascii="VIC-Regular" w:eastAsia="Times New Roman" w:hAnsi="VIC-Regular" w:cs="Times New Roman"/>
          <w:color w:val="011A3C"/>
          <w:sz w:val="24"/>
          <w:szCs w:val="24"/>
          <w:lang w:val="en" w:eastAsia="en-AU"/>
        </w:rPr>
        <w:t>) and a cash grant provided to the host school. The cash grant funding incorporates provision for vehicle maintenance, running costs, cab/chassis replacement, insurance and registration.</w:t>
      </w:r>
    </w:p>
    <w:p w14:paraId="2E45BB40" w14:textId="184B4C61" w:rsidR="002104B8" w:rsidRPr="004C0E60" w:rsidRDefault="009753DC"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 MARC ‘box’ replacement program has been introduced and administered by regional offices. Any enquiries concerning ‘box’ replacement should be directed to your regional finance officer.</w:t>
      </w:r>
      <w:bookmarkStart w:id="62" w:name="_Hlk47954049"/>
      <w:r w:rsidR="00502021">
        <w:rPr>
          <w:rFonts w:ascii="VIC-Regular" w:eastAsia="Times New Roman" w:hAnsi="VIC-Regular" w:cs="Times New Roman"/>
          <w:color w:val="011A3C"/>
          <w:sz w:val="24"/>
          <w:szCs w:val="24"/>
          <w:lang w:val="en" w:eastAsia="en-AU"/>
        </w:rPr>
        <w:t xml:space="preserve"> </w:t>
      </w:r>
      <w:bookmarkStart w:id="63" w:name="_Hlk47953986"/>
      <w:bookmarkEnd w:id="62"/>
      <w:r w:rsidR="002104B8">
        <w:rPr>
          <w:rFonts w:ascii="VIC-Regular" w:eastAsia="Times New Roman" w:hAnsi="VIC-Regular" w:cs="Times New Roman"/>
          <w:color w:val="011A3C"/>
          <w:sz w:val="24"/>
          <w:szCs w:val="24"/>
          <w:lang w:val="en" w:eastAsia="en-AU"/>
        </w:rPr>
        <w:t>All MARC/ MACC allocations are administered through the regions.</w:t>
      </w:r>
    </w:p>
    <w:p w14:paraId="56394843" w14:textId="1BBDEC0C" w:rsidR="002104B8" w:rsidRPr="000B533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and may be updated at the </w:t>
      </w:r>
      <w:r w:rsidRPr="005727F1">
        <w:rPr>
          <w:rFonts w:ascii="VIC-Regular" w:eastAsia="Times New Roman" w:hAnsi="VIC-Regular" w:cs="Times New Roman"/>
          <w:color w:val="011A3C"/>
          <w:sz w:val="24"/>
          <w:szCs w:val="24"/>
          <w:lang w:val="en" w:eastAsia="en-AU"/>
        </w:rPr>
        <w:t>Confirmed cycle</w:t>
      </w:r>
      <w:r>
        <w:rPr>
          <w:rFonts w:ascii="VIC-Regular" w:eastAsia="Times New Roman" w:hAnsi="VIC-Regular" w:cs="Times New Roman"/>
          <w:color w:val="011A3C"/>
          <w:sz w:val="24"/>
          <w:szCs w:val="24"/>
          <w:lang w:val="en" w:eastAsia="en-AU"/>
        </w:rPr>
        <w:t>.</w:t>
      </w:r>
    </w:p>
    <w:bookmarkEnd w:id="63"/>
    <w:p w14:paraId="46D323F3" w14:textId="769C185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 202</w:t>
      </w:r>
      <w:r w:rsidR="00FD588E">
        <w:rPr>
          <w:rFonts w:ascii="VIC-Bold" w:eastAsia="Times New Roman" w:hAnsi="VIC-Bold" w:cs="Times New Roman"/>
          <w:b/>
          <w:bCs/>
          <w:color w:val="011A3C"/>
          <w:sz w:val="27"/>
          <w:szCs w:val="27"/>
          <w:lang w:val="en" w:eastAsia="en-AU"/>
        </w:rPr>
        <w:t>1</w:t>
      </w:r>
    </w:p>
    <w:p w14:paraId="2D170575" w14:textId="77777777" w:rsidR="009753DC" w:rsidRPr="004C0E60"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C0E60">
        <w:rPr>
          <w:rFonts w:ascii="VIC-Bold" w:eastAsia="Times New Roman" w:hAnsi="VIC-Bold" w:cs="Times New Roman"/>
          <w:color w:val="011A3C"/>
          <w:sz w:val="24"/>
          <w:szCs w:val="24"/>
          <w:lang w:val="en" w:eastAsia="en-AU"/>
        </w:rPr>
        <w:t>Entitlement for each van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2"/>
        <w:gridCol w:w="2528"/>
        <w:gridCol w:w="2516"/>
      </w:tblGrid>
      <w:tr w:rsidR="009753DC" w:rsidRPr="004C0E60" w14:paraId="04947D1E" w14:textId="77777777" w:rsidTr="00D93949">
        <w:trPr>
          <w:tblHeader/>
        </w:trPr>
        <w:tc>
          <w:tcPr>
            <w:tcW w:w="0" w:type="auto"/>
            <w:hideMark/>
          </w:tcPr>
          <w:p w14:paraId="67392DB9" w14:textId="77777777" w:rsidR="009753DC" w:rsidRPr="00371B75" w:rsidRDefault="009753DC" w:rsidP="009753DC">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0" w:type="auto"/>
            <w:hideMark/>
          </w:tcPr>
          <w:p w14:paraId="179BF258" w14:textId="77777777" w:rsidR="009753DC" w:rsidRPr="00371B75"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MARC</w:t>
            </w:r>
          </w:p>
        </w:tc>
        <w:tc>
          <w:tcPr>
            <w:tcW w:w="0" w:type="auto"/>
            <w:hideMark/>
          </w:tcPr>
          <w:p w14:paraId="54ACCF2B" w14:textId="77777777" w:rsidR="009753DC" w:rsidRPr="00371B75"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MACC</w:t>
            </w:r>
          </w:p>
        </w:tc>
      </w:tr>
      <w:tr w:rsidR="009753DC" w:rsidRPr="004C0E60" w14:paraId="3EE1E28B" w14:textId="77777777" w:rsidTr="00D93949">
        <w:tc>
          <w:tcPr>
            <w:tcW w:w="0" w:type="auto"/>
            <w:hideMark/>
          </w:tcPr>
          <w:p w14:paraId="4F9088DE"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Maintenance and Running Costs</w:t>
            </w:r>
          </w:p>
        </w:tc>
        <w:tc>
          <w:tcPr>
            <w:tcW w:w="0" w:type="auto"/>
            <w:hideMark/>
          </w:tcPr>
          <w:p w14:paraId="76DF837D" w14:textId="7B8EBE94"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$33.82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cents per km</w:t>
            </w:r>
          </w:p>
        </w:tc>
        <w:tc>
          <w:tcPr>
            <w:tcW w:w="0" w:type="auto"/>
            <w:hideMark/>
          </w:tcPr>
          <w:p w14:paraId="77C44041" w14:textId="7098D4CF"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$33.82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cents per km</w:t>
            </w:r>
          </w:p>
        </w:tc>
      </w:tr>
      <w:tr w:rsidR="009753DC" w:rsidRPr="004C0E60" w14:paraId="353372F5" w14:textId="77777777" w:rsidTr="00D93949">
        <w:tc>
          <w:tcPr>
            <w:tcW w:w="0" w:type="auto"/>
            <w:hideMark/>
          </w:tcPr>
          <w:p w14:paraId="7ABCBBBE"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Registration and Insurance</w:t>
            </w:r>
          </w:p>
        </w:tc>
        <w:tc>
          <w:tcPr>
            <w:tcW w:w="0" w:type="auto"/>
            <w:hideMark/>
          </w:tcPr>
          <w:p w14:paraId="357B72A4" w14:textId="10C6C359"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$1,451.62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c>
          <w:tcPr>
            <w:tcW w:w="0" w:type="auto"/>
            <w:hideMark/>
          </w:tcPr>
          <w:p w14:paraId="5BE9D8EA" w14:textId="2D2C0924"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$1,451.62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r>
      <w:tr w:rsidR="009753DC" w:rsidRPr="004C0E60" w14:paraId="6CC23131" w14:textId="77777777" w:rsidTr="00D93949">
        <w:tc>
          <w:tcPr>
            <w:tcW w:w="0" w:type="auto"/>
            <w:hideMark/>
          </w:tcPr>
          <w:p w14:paraId="11CDF4B4"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Replacement</w:t>
            </w:r>
          </w:p>
        </w:tc>
        <w:tc>
          <w:tcPr>
            <w:tcW w:w="0" w:type="auto"/>
            <w:hideMark/>
          </w:tcPr>
          <w:p w14:paraId="25314CBF" w14:textId="0BDE2FDC"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$7,438.02</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c>
          <w:tcPr>
            <w:tcW w:w="0" w:type="auto"/>
            <w:hideMark/>
          </w:tcPr>
          <w:p w14:paraId="6F5A0D6E" w14:textId="6AF1D72B"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$2,792.60</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r>
      <w:tr w:rsidR="009753DC" w:rsidRPr="004C0E60" w14:paraId="4E1AEF99" w14:textId="77777777" w:rsidTr="00D93949">
        <w:tc>
          <w:tcPr>
            <w:tcW w:w="0" w:type="auto"/>
            <w:hideMark/>
          </w:tcPr>
          <w:p w14:paraId="70E604EE" w14:textId="77777777" w:rsidR="009753DC" w:rsidRPr="00371B75"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Casual Clerical Hours</w:t>
            </w:r>
          </w:p>
        </w:tc>
        <w:tc>
          <w:tcPr>
            <w:tcW w:w="0" w:type="auto"/>
            <w:hideMark/>
          </w:tcPr>
          <w:p w14:paraId="43582076" w14:textId="2E36676E"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$5,006</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c>
          <w:tcPr>
            <w:tcW w:w="0" w:type="auto"/>
            <w:hideMark/>
          </w:tcPr>
          <w:p w14:paraId="26E22E67" w14:textId="0A03D991" w:rsidR="009753DC" w:rsidRPr="00371B75"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$5,006</w:t>
            </w:r>
            <w:r w:rsidR="00F1742D" w:rsidRPr="00371B75">
              <w:rPr>
                <w:rFonts w:ascii="VIC-Regular" w:eastAsia="Times New Roman" w:hAnsi="VIC-Regular" w:cs="Times New Roman"/>
                <w:color w:val="323E4F" w:themeColor="text2" w:themeShade="BF"/>
                <w:sz w:val="24"/>
                <w:szCs w:val="24"/>
                <w:lang w:eastAsia="en-AU"/>
              </w:rPr>
              <w:t xml:space="preserve"> </w:t>
            </w:r>
            <w:r w:rsidR="009753DC" w:rsidRPr="00371B75">
              <w:rPr>
                <w:rFonts w:ascii="VIC-Regular" w:eastAsia="Times New Roman" w:hAnsi="VIC-Regular" w:cs="Times New Roman"/>
                <w:color w:val="323E4F" w:themeColor="text2" w:themeShade="BF"/>
                <w:sz w:val="24"/>
                <w:szCs w:val="24"/>
                <w:lang w:eastAsia="en-AU"/>
              </w:rPr>
              <w:t>per annum</w:t>
            </w:r>
          </w:p>
        </w:tc>
      </w:tr>
    </w:tbl>
    <w:p w14:paraId="7A6693AD" w14:textId="77777777" w:rsidR="009753DC" w:rsidRDefault="009753DC" w:rsidP="009753DC"/>
    <w:p w14:paraId="4C3C3E8C" w14:textId="77777777" w:rsidR="009753DC" w:rsidRDefault="009753DC" w:rsidP="009753DC">
      <w:r>
        <w:br w:type="page"/>
      </w:r>
    </w:p>
    <w:p w14:paraId="3E384D83" w14:textId="77777777" w:rsidR="009753DC" w:rsidRDefault="009753DC" w:rsidP="00842992">
      <w:pPr>
        <w:pStyle w:val="Heading2"/>
      </w:pPr>
      <w:bookmarkStart w:id="64" w:name="_Toc52796208"/>
      <w:r w:rsidRPr="004C0E60">
        <w:lastRenderedPageBreak/>
        <w:t>Alternative Settings Teachers (Reference 47)</w:t>
      </w:r>
      <w:bookmarkEnd w:id="64"/>
    </w:p>
    <w:p w14:paraId="11026D77" w14:textId="77777777" w:rsidR="009753DC" w:rsidRPr="004C0E60" w:rsidRDefault="009753DC" w:rsidP="009753DC">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t>Other/ Alternative Programs</w:t>
      </w:r>
    </w:p>
    <w:p w14:paraId="252E1DA9"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​Flexible learning options provide alternative, tailored education and support for children and young people who are disengaged, or have been identified as at risk of disengaging, from mainstream school. They provide an opportunity for disengaged or at-risk children and young people to achieve positive learning outcomes through engagement in a more flexible learning environment, coupled with wellbeing supports.</w:t>
      </w:r>
    </w:p>
    <w:p w14:paraId="7534B568"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Lower teacher to student ratios are allocated to these settings to provide a tailored and supportive learning environment for a small number of students whose needs are not being met through mainstream settings.</w:t>
      </w:r>
    </w:p>
    <w:p w14:paraId="02204EE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Alternative Settings Teachers should use the Department’s re-engagement guidelines to develop their programs to support at risk and vulnerable students, refer to </w:t>
      </w:r>
      <w:hyperlink r:id="rId80" w:history="1">
        <w:r w:rsidRPr="004C0E60">
          <w:rPr>
            <w:rFonts w:ascii="VIC-Regular" w:eastAsia="Times New Roman" w:hAnsi="VIC-Regular" w:cs="Times New Roman"/>
            <w:color w:val="011A3C"/>
            <w:sz w:val="24"/>
            <w:szCs w:val="24"/>
            <w:lang w:val="en" w:eastAsia="en-AU"/>
          </w:rPr>
          <w:t>​Re-engagement Programs</w:t>
        </w:r>
      </w:hyperlink>
      <w:r w:rsidRPr="004C0E60">
        <w:rPr>
          <w:rFonts w:ascii="VIC-Regular" w:eastAsia="Times New Roman" w:hAnsi="VIC-Regular" w:cs="Times New Roman"/>
          <w:color w:val="011A3C"/>
          <w:sz w:val="24"/>
          <w:szCs w:val="24"/>
          <w:lang w:val="en" w:eastAsia="en-AU"/>
        </w:rPr>
        <w:t>.</w:t>
      </w:r>
    </w:p>
    <w:p w14:paraId="2C7F6143" w14:textId="77777777"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18556992" w14:textId="6647286B" w:rsidR="00314DAA"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All Alternative Settings Teacher funding allocations are </w:t>
      </w:r>
      <w:r w:rsidR="00314DAA">
        <w:rPr>
          <w:rFonts w:ascii="VIC-Regular" w:eastAsia="Times New Roman" w:hAnsi="VIC-Regular" w:cs="Times New Roman"/>
          <w:color w:val="011A3C"/>
          <w:sz w:val="24"/>
          <w:szCs w:val="24"/>
          <w:lang w:val="en" w:eastAsia="en-AU"/>
        </w:rPr>
        <w:t>determined  by</w:t>
      </w:r>
      <w:r>
        <w:rPr>
          <w:rFonts w:ascii="VIC-Regular" w:eastAsia="Times New Roman" w:hAnsi="VIC-Regular" w:cs="Times New Roman"/>
          <w:color w:val="011A3C"/>
          <w:sz w:val="24"/>
          <w:szCs w:val="24"/>
          <w:lang w:val="en" w:eastAsia="en-AU"/>
        </w:rPr>
        <w:t xml:space="preserve"> region</w:t>
      </w:r>
      <w:r w:rsidR="00314DAA">
        <w:rPr>
          <w:rFonts w:ascii="VIC-Regular" w:eastAsia="Times New Roman" w:hAnsi="VIC-Regular" w:cs="Times New Roman"/>
          <w:color w:val="011A3C"/>
          <w:sz w:val="24"/>
          <w:szCs w:val="24"/>
          <w:lang w:val="en" w:eastAsia="en-AU"/>
        </w:rPr>
        <w:t>al offices</w:t>
      </w:r>
      <w:r>
        <w:rPr>
          <w:rFonts w:ascii="VIC-Regular" w:eastAsia="Times New Roman" w:hAnsi="VIC-Regular" w:cs="Times New Roman"/>
          <w:color w:val="011A3C"/>
          <w:sz w:val="24"/>
          <w:szCs w:val="24"/>
          <w:lang w:val="en" w:eastAsia="en-AU"/>
        </w:rPr>
        <w:t>.</w:t>
      </w:r>
    </w:p>
    <w:p w14:paraId="308C7985" w14:textId="2D32FA9C" w:rsidR="009753DC" w:rsidRPr="004D1CF3" w:rsidRDefault="002104B8" w:rsidP="009753DC">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 </w:t>
      </w: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credit and cash funding.</w:t>
      </w:r>
    </w:p>
    <w:p w14:paraId="181EA315" w14:textId="52E67A38"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314DAA">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4C0E60" w14:paraId="12E77F99" w14:textId="77777777" w:rsidTr="00D93949">
        <w:trPr>
          <w:tblHeader/>
        </w:trPr>
        <w:tc>
          <w:tcPr>
            <w:tcW w:w="0" w:type="auto"/>
            <w:hideMark/>
          </w:tcPr>
          <w:p w14:paraId="6A632635"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Sector</w:t>
            </w:r>
          </w:p>
        </w:tc>
        <w:tc>
          <w:tcPr>
            <w:tcW w:w="0" w:type="auto"/>
            <w:hideMark/>
          </w:tcPr>
          <w:p w14:paraId="78BDA753" w14:textId="77777777" w:rsidR="009753DC" w:rsidRPr="00371B75"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1EC926D2" w14:textId="77777777" w:rsidR="009753DC" w:rsidRPr="00371B75"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25E30FF2" w14:textId="77777777" w:rsidR="009753DC" w:rsidRPr="00371B75"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314DAA" w:rsidRPr="004C0E60" w14:paraId="0CBEDA1C" w14:textId="77777777" w:rsidTr="00D93949">
        <w:tc>
          <w:tcPr>
            <w:tcW w:w="0" w:type="auto"/>
            <w:hideMark/>
          </w:tcPr>
          <w:p w14:paraId="5616CB66" w14:textId="77777777" w:rsidR="00314DAA" w:rsidRPr="00371B75"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4385F872" w14:textId="6EEB9F04"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118,496</w:t>
            </w:r>
          </w:p>
        </w:tc>
        <w:tc>
          <w:tcPr>
            <w:tcW w:w="0" w:type="auto"/>
            <w:hideMark/>
          </w:tcPr>
          <w:p w14:paraId="059918F1" w14:textId="60405323"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3,057</w:t>
            </w:r>
          </w:p>
        </w:tc>
        <w:tc>
          <w:tcPr>
            <w:tcW w:w="0" w:type="auto"/>
            <w:hideMark/>
          </w:tcPr>
          <w:p w14:paraId="5D5E7BC3" w14:textId="1EC25B21"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121,553</w:t>
            </w:r>
          </w:p>
        </w:tc>
      </w:tr>
      <w:tr w:rsidR="00314DAA" w:rsidRPr="004C0E60" w14:paraId="44AE4A17" w14:textId="77777777" w:rsidTr="00D93949">
        <w:tc>
          <w:tcPr>
            <w:tcW w:w="0" w:type="auto"/>
            <w:hideMark/>
          </w:tcPr>
          <w:p w14:paraId="10C217BA" w14:textId="77777777" w:rsidR="00314DAA" w:rsidRPr="00371B75"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0114ECDA" w14:textId="212ECCAB"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119,535</w:t>
            </w:r>
          </w:p>
        </w:tc>
        <w:tc>
          <w:tcPr>
            <w:tcW w:w="0" w:type="auto"/>
            <w:hideMark/>
          </w:tcPr>
          <w:p w14:paraId="1ACF161A" w14:textId="1B6E8122"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1,595</w:t>
            </w:r>
          </w:p>
        </w:tc>
        <w:tc>
          <w:tcPr>
            <w:tcW w:w="0" w:type="auto"/>
            <w:hideMark/>
          </w:tcPr>
          <w:p w14:paraId="158FB20D" w14:textId="795CB3FD" w:rsidR="00314DAA" w:rsidRPr="00371B75"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121,130</w:t>
            </w:r>
          </w:p>
        </w:tc>
      </w:tr>
    </w:tbl>
    <w:p w14:paraId="6D5D40BD" w14:textId="77777777" w:rsidR="009753DC" w:rsidRDefault="009753DC" w:rsidP="009753DC"/>
    <w:p w14:paraId="2D8975DE" w14:textId="77777777" w:rsidR="009753DC" w:rsidRDefault="009753DC" w:rsidP="009753DC">
      <w:r>
        <w:br w:type="page"/>
      </w:r>
    </w:p>
    <w:p w14:paraId="0D7B8C02" w14:textId="77777777" w:rsidR="009753DC" w:rsidRPr="004C0E60" w:rsidRDefault="009753DC" w:rsidP="00842992">
      <w:pPr>
        <w:pStyle w:val="Heading2"/>
      </w:pPr>
      <w:bookmarkStart w:id="65" w:name="_Toc52796209"/>
      <w:r w:rsidRPr="004C0E60">
        <w:lastRenderedPageBreak/>
        <w:t>Ancillary Settings Teachers (Reference 48)</w:t>
      </w:r>
      <w:bookmarkEnd w:id="65"/>
    </w:p>
    <w:p w14:paraId="57B6F1B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Ancillary settings teachers are allocated to schools formerly having Social Adjustment Centres (SACs) and Secondary Teaching Units (STUs).</w:t>
      </w:r>
    </w:p>
    <w:p w14:paraId="20638373" w14:textId="05C2BB36"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580FCCBE" w14:textId="1B0BB5E7" w:rsidR="002104B8" w:rsidRPr="00F13520"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66" w:name="_Hlk47962119"/>
      <w:r>
        <w:rPr>
          <w:rFonts w:ascii="VIC-Regular" w:eastAsia="Times New Roman" w:hAnsi="VIC-Regular" w:cs="Times New Roman"/>
          <w:color w:val="011A3C"/>
          <w:sz w:val="24"/>
          <w:szCs w:val="24"/>
          <w:lang w:val="en" w:eastAsia="en-AU"/>
        </w:rPr>
        <w:t xml:space="preserve">Ancillary Settings Teacher funding </w:t>
      </w:r>
      <w:r w:rsidRPr="00F13520">
        <w:rPr>
          <w:rFonts w:ascii="VIC-Regular" w:eastAsia="Times New Roman" w:hAnsi="VIC-Regular" w:cs="Times New Roman"/>
          <w:color w:val="011A3C"/>
          <w:sz w:val="24"/>
          <w:szCs w:val="24"/>
          <w:lang w:val="en" w:eastAsia="en-AU"/>
        </w:rPr>
        <w:t xml:space="preserve">allocations are </w:t>
      </w:r>
      <w:r w:rsidR="00565BC7">
        <w:rPr>
          <w:rFonts w:ascii="VIC-Regular" w:eastAsia="Times New Roman" w:hAnsi="VIC-Regular" w:cs="Times New Roman"/>
          <w:color w:val="011A3C"/>
          <w:sz w:val="24"/>
          <w:szCs w:val="24"/>
          <w:lang w:val="en" w:eastAsia="en-AU"/>
        </w:rPr>
        <w:t>determined</w:t>
      </w:r>
      <w:r w:rsidR="00565BC7" w:rsidRPr="00F13520">
        <w:rPr>
          <w:rFonts w:ascii="VIC-Regular" w:eastAsia="Times New Roman" w:hAnsi="VIC-Regular" w:cs="Times New Roman"/>
          <w:color w:val="011A3C"/>
          <w:sz w:val="24"/>
          <w:szCs w:val="24"/>
          <w:lang w:val="en" w:eastAsia="en-AU"/>
        </w:rPr>
        <w:t xml:space="preserve"> </w:t>
      </w:r>
      <w:r w:rsidR="00565BC7">
        <w:rPr>
          <w:rFonts w:ascii="VIC-Regular" w:eastAsia="Times New Roman" w:hAnsi="VIC-Regular" w:cs="Times New Roman"/>
          <w:color w:val="011A3C"/>
          <w:sz w:val="24"/>
          <w:szCs w:val="24"/>
          <w:lang w:val="en" w:eastAsia="en-AU"/>
        </w:rPr>
        <w:t xml:space="preserve"> by</w:t>
      </w:r>
      <w:r w:rsidRPr="00F13520">
        <w:rPr>
          <w:rFonts w:ascii="VIC-Regular" w:eastAsia="Times New Roman" w:hAnsi="VIC-Regular" w:cs="Times New Roman"/>
          <w:color w:val="011A3C"/>
          <w:sz w:val="24"/>
          <w:szCs w:val="24"/>
          <w:lang w:val="en" w:eastAsia="en-AU"/>
        </w:rPr>
        <w:t xml:space="preserve"> region</w:t>
      </w:r>
      <w:r w:rsidR="00565BC7">
        <w:rPr>
          <w:rFonts w:ascii="VIC-Regular" w:eastAsia="Times New Roman" w:hAnsi="VIC-Regular" w:cs="Times New Roman"/>
          <w:color w:val="011A3C"/>
          <w:sz w:val="24"/>
          <w:szCs w:val="24"/>
          <w:lang w:val="en" w:eastAsia="en-AU"/>
        </w:rPr>
        <w:t>al offices</w:t>
      </w:r>
      <w:r w:rsidRPr="00F13520">
        <w:rPr>
          <w:rFonts w:ascii="VIC-Regular" w:eastAsia="Times New Roman" w:hAnsi="VIC-Regular" w:cs="Times New Roman"/>
          <w:color w:val="011A3C"/>
          <w:sz w:val="24"/>
          <w:szCs w:val="24"/>
          <w:lang w:val="en" w:eastAsia="en-AU"/>
        </w:rPr>
        <w:t>.</w:t>
      </w:r>
    </w:p>
    <w:bookmarkEnd w:id="66"/>
    <w:p w14:paraId="1A94C329" w14:textId="1D51869B" w:rsidR="002104B8"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credit and cash funding.</w:t>
      </w:r>
    </w:p>
    <w:p w14:paraId="3E08740E" w14:textId="43CA329D"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w:t>
      </w:r>
      <w:r w:rsidR="00565BC7">
        <w:rPr>
          <w:rFonts w:ascii="VIC-Bold" w:eastAsia="Times New Roman" w:hAnsi="VIC-Bold" w:cs="Times New Roman"/>
          <w:b/>
          <w:bCs/>
          <w:color w:val="011A3C"/>
          <w:sz w:val="27"/>
          <w:szCs w:val="27"/>
          <w:lang w:val="en" w:eastAsia="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4C0E60" w14:paraId="79CCF682" w14:textId="77777777" w:rsidTr="00D93949">
        <w:trPr>
          <w:tblHeader/>
        </w:trPr>
        <w:tc>
          <w:tcPr>
            <w:tcW w:w="0" w:type="auto"/>
            <w:hideMark/>
          </w:tcPr>
          <w:p w14:paraId="6559034B"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Sector</w:t>
            </w:r>
          </w:p>
        </w:tc>
        <w:tc>
          <w:tcPr>
            <w:tcW w:w="0" w:type="auto"/>
            <w:hideMark/>
          </w:tcPr>
          <w:p w14:paraId="22E035A8"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Credit ($)</w:t>
            </w:r>
          </w:p>
        </w:tc>
        <w:tc>
          <w:tcPr>
            <w:tcW w:w="0" w:type="auto"/>
            <w:hideMark/>
          </w:tcPr>
          <w:p w14:paraId="0E77269B"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Cash ($)</w:t>
            </w:r>
          </w:p>
        </w:tc>
        <w:tc>
          <w:tcPr>
            <w:tcW w:w="0" w:type="auto"/>
            <w:hideMark/>
          </w:tcPr>
          <w:p w14:paraId="0C10C11C" w14:textId="77777777" w:rsidR="009753DC" w:rsidRPr="00371B75"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Total ($)</w:t>
            </w:r>
          </w:p>
        </w:tc>
      </w:tr>
      <w:tr w:rsidR="00565BC7" w:rsidRPr="004C0E60" w14:paraId="5036F9D7" w14:textId="77777777" w:rsidTr="00D93949">
        <w:tc>
          <w:tcPr>
            <w:tcW w:w="0" w:type="auto"/>
            <w:hideMark/>
          </w:tcPr>
          <w:p w14:paraId="4719C0ED" w14:textId="77777777" w:rsidR="00565BC7" w:rsidRPr="00371B75"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Primary</w:t>
            </w:r>
          </w:p>
        </w:tc>
        <w:tc>
          <w:tcPr>
            <w:tcW w:w="0" w:type="auto"/>
            <w:hideMark/>
          </w:tcPr>
          <w:p w14:paraId="420B2CEC" w14:textId="3F0494B1" w:rsidR="00565BC7" w:rsidRPr="00371B75" w:rsidRDefault="00565BC7" w:rsidP="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118,496</w:t>
            </w:r>
          </w:p>
        </w:tc>
        <w:tc>
          <w:tcPr>
            <w:tcW w:w="0" w:type="auto"/>
            <w:hideMark/>
          </w:tcPr>
          <w:p w14:paraId="41C737FF" w14:textId="2DC9141B" w:rsidR="00565BC7" w:rsidRPr="00371B75" w:rsidRDefault="00565BC7" w:rsidP="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3,057</w:t>
            </w:r>
          </w:p>
        </w:tc>
        <w:tc>
          <w:tcPr>
            <w:tcW w:w="0" w:type="auto"/>
            <w:hideMark/>
          </w:tcPr>
          <w:p w14:paraId="12BBF872" w14:textId="1615266E" w:rsidR="00565BC7" w:rsidRPr="00371B75" w:rsidRDefault="00565BC7" w:rsidP="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121,553</w:t>
            </w:r>
          </w:p>
        </w:tc>
      </w:tr>
      <w:tr w:rsidR="00565BC7" w:rsidRPr="004C0E60" w14:paraId="594E9FED" w14:textId="77777777" w:rsidTr="00D93949">
        <w:tc>
          <w:tcPr>
            <w:tcW w:w="0" w:type="auto"/>
            <w:hideMark/>
          </w:tcPr>
          <w:p w14:paraId="681B916F" w14:textId="77777777" w:rsidR="00565BC7" w:rsidRPr="00371B75"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Secondary</w:t>
            </w:r>
          </w:p>
        </w:tc>
        <w:tc>
          <w:tcPr>
            <w:tcW w:w="0" w:type="auto"/>
            <w:hideMark/>
          </w:tcPr>
          <w:p w14:paraId="04A7317C" w14:textId="446FFC8A" w:rsidR="00565BC7" w:rsidRPr="00371B75" w:rsidRDefault="00565BC7" w:rsidP="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119,535</w:t>
            </w:r>
          </w:p>
        </w:tc>
        <w:tc>
          <w:tcPr>
            <w:tcW w:w="0" w:type="auto"/>
            <w:hideMark/>
          </w:tcPr>
          <w:p w14:paraId="1D221394" w14:textId="173804EA" w:rsidR="00565BC7" w:rsidRPr="00371B75" w:rsidRDefault="00565BC7" w:rsidP="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1,595</w:t>
            </w:r>
          </w:p>
        </w:tc>
        <w:tc>
          <w:tcPr>
            <w:tcW w:w="0" w:type="auto"/>
            <w:hideMark/>
          </w:tcPr>
          <w:p w14:paraId="3F55CAB7" w14:textId="5B21431F" w:rsidR="00565BC7" w:rsidRPr="00371B75" w:rsidRDefault="00565BC7" w:rsidP="00565BC7">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121,130</w:t>
            </w:r>
          </w:p>
        </w:tc>
      </w:tr>
    </w:tbl>
    <w:p w14:paraId="385A31F2" w14:textId="77777777" w:rsidR="009753DC" w:rsidRDefault="009753DC" w:rsidP="009753DC"/>
    <w:p w14:paraId="773AEB80" w14:textId="77777777" w:rsidR="009753DC" w:rsidRDefault="009753DC" w:rsidP="009753DC">
      <w:r>
        <w:br w:type="page"/>
      </w:r>
    </w:p>
    <w:p w14:paraId="2A697E7E" w14:textId="77777777" w:rsidR="009753DC" w:rsidRPr="004C0E60" w:rsidRDefault="009753DC" w:rsidP="00842992">
      <w:pPr>
        <w:pStyle w:val="Heading2"/>
      </w:pPr>
      <w:bookmarkStart w:id="67" w:name="_Toc52796210"/>
      <w:r w:rsidRPr="004C0E60">
        <w:lastRenderedPageBreak/>
        <w:t>Alternative programs — regional grants (Reference 49)</w:t>
      </w:r>
      <w:bookmarkEnd w:id="67"/>
    </w:p>
    <w:p w14:paraId="2C267E51" w14:textId="2842CB0E"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w:t>
      </w:r>
      <w:r w:rsidR="004D1CF3">
        <w:rPr>
          <w:rFonts w:ascii="VIC-Regular" w:eastAsia="Times New Roman" w:hAnsi="VIC-Regular" w:cs="Times New Roman"/>
          <w:color w:val="011A3C"/>
          <w:sz w:val="24"/>
          <w:szCs w:val="24"/>
          <w:lang w:val="en" w:eastAsia="en-AU"/>
        </w:rPr>
        <w:t xml:space="preserve"> </w:t>
      </w:r>
      <w:r w:rsidR="002104B8">
        <w:rPr>
          <w:rFonts w:ascii="VIC-Regular" w:eastAsia="Times New Roman" w:hAnsi="VIC-Regular" w:cs="Times New Roman"/>
          <w:color w:val="011A3C"/>
          <w:sz w:val="24"/>
          <w:szCs w:val="24"/>
          <w:lang w:val="en" w:eastAsia="en-AU"/>
        </w:rPr>
        <w:t>This is a</w:t>
      </w:r>
      <w:r>
        <w:rPr>
          <w:rFonts w:ascii="VIC-Regular" w:eastAsia="Times New Roman" w:hAnsi="VIC-Regular" w:cs="Times New Roman"/>
          <w:color w:val="011A3C"/>
          <w:sz w:val="24"/>
          <w:szCs w:val="24"/>
          <w:lang w:val="en" w:eastAsia="en-AU"/>
        </w:rPr>
        <w:t xml:space="preserve"> </w:t>
      </w:r>
      <w:r w:rsidRPr="004C0E60">
        <w:rPr>
          <w:rFonts w:ascii="VIC-Regular" w:eastAsia="Times New Roman" w:hAnsi="VIC-Regular" w:cs="Times New Roman"/>
          <w:color w:val="011A3C"/>
          <w:sz w:val="24"/>
          <w:szCs w:val="24"/>
          <w:lang w:val="en" w:eastAsia="en-AU"/>
        </w:rPr>
        <w:t>Regional allocation of funding to support alternative programs for students.</w:t>
      </w:r>
    </w:p>
    <w:p w14:paraId="5BC8BB6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Where these funds are to be used by schools for salaries on eduPay, schools may need (depending on their overall budget surplus situation) to undertake a cash-to-credit transfer to offset the payroll charge-out.</w:t>
      </w:r>
    </w:p>
    <w:p w14:paraId="6779A2BE" w14:textId="17C4F789" w:rsidR="009753DC"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cash funding.</w:t>
      </w:r>
    </w:p>
    <w:p w14:paraId="406546A3" w14:textId="77777777" w:rsidR="009753DC" w:rsidRDefault="009753DC" w:rsidP="009753D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878E2F4" w14:textId="34B6D4D5" w:rsidR="008503A1" w:rsidRPr="00CD6DD9" w:rsidRDefault="008503A1" w:rsidP="004D1CF3">
      <w:pPr>
        <w:pStyle w:val="Heading2"/>
      </w:pPr>
      <w:bookmarkStart w:id="68" w:name="_Toc52796211"/>
      <w:bookmarkStart w:id="69" w:name="_Hlk49848111"/>
      <w:r w:rsidRPr="00D85B12">
        <w:lastRenderedPageBreak/>
        <w:t>Joint Community Program</w:t>
      </w:r>
      <w:r w:rsidR="003611D0">
        <w:t xml:space="preserve"> </w:t>
      </w:r>
      <w:r w:rsidR="00891D19">
        <w:t>(Reference 123)</w:t>
      </w:r>
      <w:bookmarkEnd w:id="68"/>
    </w:p>
    <w:p w14:paraId="20A75115" w14:textId="50451057" w:rsidR="008503A1" w:rsidRPr="00EA00FA" w:rsidRDefault="008503A1"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Joint Community Program</w:t>
      </w:r>
      <w:r w:rsidRPr="00EA00FA">
        <w:rPr>
          <w:rFonts w:ascii="VIC-Regular" w:eastAsia="Times New Roman" w:hAnsi="VIC-Regular" w:cs="Times New Roman"/>
          <w:color w:val="011A3C"/>
          <w:sz w:val="24"/>
          <w:szCs w:val="24"/>
          <w:lang w:val="en" w:eastAsia="en-AU"/>
        </w:rPr>
        <w:t xml:space="preserve"> grants </w:t>
      </w:r>
      <w:r>
        <w:rPr>
          <w:rFonts w:ascii="VIC-Regular" w:eastAsia="Times New Roman" w:hAnsi="VIC-Regular" w:cs="Times New Roman"/>
          <w:color w:val="011A3C"/>
          <w:sz w:val="24"/>
          <w:szCs w:val="24"/>
          <w:lang w:val="en" w:eastAsia="en-AU"/>
        </w:rPr>
        <w:t xml:space="preserve">are </w:t>
      </w:r>
      <w:r w:rsidRPr="00EA00FA">
        <w:rPr>
          <w:rFonts w:ascii="VIC-Regular" w:eastAsia="Times New Roman" w:hAnsi="VIC-Regular" w:cs="Times New Roman"/>
          <w:color w:val="011A3C"/>
          <w:sz w:val="24"/>
          <w:szCs w:val="24"/>
          <w:lang w:val="en" w:eastAsia="en-AU"/>
        </w:rPr>
        <w:t xml:space="preserve">for Joint </w:t>
      </w:r>
      <w:r>
        <w:rPr>
          <w:rFonts w:ascii="VIC-Regular" w:eastAsia="Times New Roman" w:hAnsi="VIC-Regular" w:cs="Times New Roman"/>
          <w:color w:val="011A3C"/>
          <w:sz w:val="24"/>
          <w:szCs w:val="24"/>
          <w:lang w:val="en" w:eastAsia="en-AU"/>
        </w:rPr>
        <w:t>u</w:t>
      </w:r>
      <w:r w:rsidRPr="00EA00FA">
        <w:rPr>
          <w:rFonts w:ascii="VIC-Regular" w:eastAsia="Times New Roman" w:hAnsi="VIC-Regular" w:cs="Times New Roman"/>
          <w:color w:val="011A3C"/>
          <w:sz w:val="24"/>
          <w:szCs w:val="24"/>
          <w:lang w:val="en" w:eastAsia="en-AU"/>
        </w:rPr>
        <w:t>se facilities</w:t>
      </w:r>
      <w:r>
        <w:rPr>
          <w:rFonts w:ascii="VIC-Regular" w:eastAsia="Times New Roman" w:hAnsi="VIC-Regular" w:cs="Times New Roman"/>
          <w:color w:val="011A3C"/>
          <w:sz w:val="24"/>
          <w:szCs w:val="24"/>
          <w:lang w:val="en" w:eastAsia="en-AU"/>
        </w:rPr>
        <w:t xml:space="preserve"> that</w:t>
      </w:r>
      <w:r w:rsidRPr="00EA00FA">
        <w:rPr>
          <w:rFonts w:ascii="VIC-Regular" w:eastAsia="Times New Roman" w:hAnsi="VIC-Regular" w:cs="Times New Roman"/>
          <w:color w:val="011A3C"/>
          <w:sz w:val="24"/>
          <w:szCs w:val="24"/>
          <w:lang w:val="en" w:eastAsia="en-AU"/>
        </w:rPr>
        <w:t xml:space="preserve"> were transferred from the Regional Offices </w:t>
      </w:r>
      <w:r w:rsidR="003611D0">
        <w:rPr>
          <w:rFonts w:ascii="VIC-Regular" w:eastAsia="Times New Roman" w:hAnsi="VIC-Regular" w:cs="Times New Roman"/>
          <w:color w:val="011A3C"/>
          <w:sz w:val="24"/>
          <w:szCs w:val="24"/>
          <w:lang w:val="en" w:eastAsia="en-AU"/>
        </w:rPr>
        <w:t xml:space="preserve">in 2010 </w:t>
      </w:r>
      <w:r w:rsidRPr="00EA00FA">
        <w:rPr>
          <w:rFonts w:ascii="VIC-Regular" w:eastAsia="Times New Roman" w:hAnsi="VIC-Regular" w:cs="Times New Roman"/>
          <w:color w:val="011A3C"/>
          <w:sz w:val="24"/>
          <w:szCs w:val="24"/>
          <w:lang w:val="en" w:eastAsia="en-AU"/>
        </w:rPr>
        <w:t xml:space="preserve">and incorporated into the </w:t>
      </w:r>
      <w:r>
        <w:rPr>
          <w:rFonts w:ascii="VIC-Regular" w:eastAsia="Times New Roman" w:hAnsi="VIC-Regular" w:cs="Times New Roman"/>
          <w:color w:val="011A3C"/>
          <w:sz w:val="24"/>
          <w:szCs w:val="24"/>
          <w:lang w:val="en" w:eastAsia="en-AU"/>
        </w:rPr>
        <w:t>Student Resource Package.</w:t>
      </w:r>
    </w:p>
    <w:p w14:paraId="4DDE4D13" w14:textId="77777777" w:rsidR="008503A1" w:rsidRPr="00EA00FA" w:rsidRDefault="008503A1" w:rsidP="008503A1">
      <w:pPr>
        <w:rPr>
          <w:rFonts w:ascii="VIC-Regular" w:eastAsia="Times New Roman" w:hAnsi="VIC-Regular" w:cs="Times New Roman"/>
          <w:color w:val="011A3C"/>
          <w:sz w:val="24"/>
          <w:szCs w:val="24"/>
          <w:lang w:val="en" w:eastAsia="en-AU"/>
        </w:rPr>
      </w:pPr>
      <w:r w:rsidRPr="00EA00FA">
        <w:rPr>
          <w:rFonts w:ascii="VIC-Regular" w:eastAsia="Times New Roman" w:hAnsi="VIC-Regular" w:cs="Times New Roman"/>
          <w:color w:val="011A3C"/>
          <w:sz w:val="24"/>
          <w:szCs w:val="24"/>
          <w:lang w:val="en" w:eastAsia="en-AU"/>
        </w:rPr>
        <w:t>Funding is dependent on individual service agreement (administered by regional offices) between the Department of Education and an external provider.</w:t>
      </w:r>
    </w:p>
    <w:p w14:paraId="643F9F74" w14:textId="77777777" w:rsidR="008503A1" w:rsidRDefault="008503A1" w:rsidP="008503A1">
      <w:pPr>
        <w:rPr>
          <w:rFonts w:ascii="VIC-Regular" w:eastAsia="Times New Roman" w:hAnsi="VIC-Regular" w:cs="Times New Roman"/>
          <w:color w:val="011A3C"/>
          <w:sz w:val="24"/>
          <w:szCs w:val="24"/>
          <w:lang w:val="en" w:eastAsia="en-AU"/>
        </w:rPr>
      </w:pPr>
      <w:r w:rsidRPr="00EA00FA">
        <w:rPr>
          <w:rFonts w:ascii="VIC-Regular" w:eastAsia="Times New Roman" w:hAnsi="VIC-Regular" w:cs="Times New Roman"/>
          <w:color w:val="011A3C"/>
          <w:sz w:val="24"/>
          <w:szCs w:val="24"/>
          <w:lang w:val="en" w:eastAsia="en-AU"/>
        </w:rPr>
        <w:t>The agreements are generally established under a committee of management with representation from schools and other parties,</w:t>
      </w:r>
      <w:r>
        <w:rPr>
          <w:rFonts w:ascii="VIC-Regular" w:eastAsia="Times New Roman" w:hAnsi="VIC-Regular" w:cs="Times New Roman"/>
          <w:color w:val="011A3C"/>
          <w:sz w:val="24"/>
          <w:szCs w:val="24"/>
          <w:lang w:val="en" w:eastAsia="en-AU"/>
        </w:rPr>
        <w:t xml:space="preserve"> </w:t>
      </w:r>
      <w:r w:rsidRPr="00EA00FA">
        <w:rPr>
          <w:rFonts w:ascii="VIC-Regular" w:eastAsia="Times New Roman" w:hAnsi="VIC-Regular" w:cs="Times New Roman"/>
          <w:color w:val="011A3C"/>
          <w:sz w:val="24"/>
          <w:szCs w:val="24"/>
          <w:lang w:val="en" w:eastAsia="en-AU"/>
        </w:rPr>
        <w:t xml:space="preserve">such as municipal offices, and allocated on advice from regions. </w:t>
      </w:r>
    </w:p>
    <w:p w14:paraId="77D4FEE7" w14:textId="77777777" w:rsidR="008503A1" w:rsidRDefault="008503A1" w:rsidP="008503A1">
      <w:pPr>
        <w:rPr>
          <w:rFonts w:ascii="VIC-Regular" w:eastAsia="Times New Roman" w:hAnsi="VIC-Regular" w:cs="Times New Roman"/>
          <w:color w:val="011A3C"/>
          <w:sz w:val="24"/>
          <w:szCs w:val="24"/>
          <w:lang w:val="en" w:eastAsia="en-AU"/>
        </w:rPr>
      </w:pPr>
      <w:r w:rsidRPr="00ED2B38">
        <w:rPr>
          <w:rFonts w:ascii="VIC-Regular" w:eastAsia="Times New Roman" w:hAnsi="VIC-Regular" w:cs="Times New Roman"/>
          <w:color w:val="011A3C"/>
          <w:sz w:val="24"/>
          <w:szCs w:val="24"/>
          <w:lang w:val="en" w:eastAsia="en-AU"/>
        </w:rPr>
        <w:t>Funding is calculated at the Indicative cycle and may be updated at the Confirmed cycle, funding is allocated through cash funding.</w:t>
      </w:r>
    </w:p>
    <w:bookmarkEnd w:id="69"/>
    <w:p w14:paraId="12BD0F7A" w14:textId="77777777" w:rsidR="009753DC" w:rsidRDefault="009753DC" w:rsidP="009753D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7D8A1435" w14:textId="21DFF2FF" w:rsidR="00C53D64" w:rsidRPr="002F2A24" w:rsidRDefault="00C53D64" w:rsidP="00B449D7">
      <w:pPr>
        <w:pStyle w:val="Heading1"/>
      </w:pPr>
      <w:bookmarkStart w:id="70" w:name="_Toc52796212"/>
      <w:r w:rsidRPr="002F2A24">
        <w:lastRenderedPageBreak/>
        <w:t xml:space="preserve">Student Resource Package </w:t>
      </w:r>
      <w:r w:rsidRPr="002F2A24">
        <w:rPr>
          <w:rFonts w:hint="eastAsia"/>
        </w:rPr>
        <w:t>—</w:t>
      </w:r>
      <w:r w:rsidRPr="002F2A24">
        <w:t xml:space="preserve"> Targeted Initiatives</w:t>
      </w:r>
      <w:bookmarkEnd w:id="70"/>
    </w:p>
    <w:p w14:paraId="081A6111" w14:textId="77777777" w:rsidR="00C53D64" w:rsidRPr="00D56CEA" w:rsidRDefault="00C53D64" w:rsidP="002F2A24">
      <w:pPr>
        <w:pStyle w:val="Heading3"/>
        <w:rPr>
          <w:rFonts w:ascii="VIC-Bold" w:eastAsia="Times New Roman" w:hAnsi="VIC-Bold" w:cs="Times New Roman"/>
          <w:color w:val="323E4F" w:themeColor="text2" w:themeShade="BF"/>
          <w:sz w:val="36"/>
          <w:szCs w:val="36"/>
          <w:lang w:val="en" w:eastAsia="en-AU"/>
        </w:rPr>
      </w:pPr>
      <w:r w:rsidRPr="00D56CEA">
        <w:rPr>
          <w:rFonts w:ascii="VIC-Bold" w:eastAsia="Times New Roman" w:hAnsi="VIC-Bold" w:cs="Times New Roman"/>
          <w:color w:val="323E4F" w:themeColor="text2" w:themeShade="BF"/>
          <w:sz w:val="36"/>
          <w:szCs w:val="36"/>
          <w:lang w:val="en" w:eastAsia="en-AU"/>
        </w:rPr>
        <w:t>Policy</w:t>
      </w:r>
    </w:p>
    <w:p w14:paraId="770A88C9"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targeted initiatives.</w:t>
      </w:r>
    </w:p>
    <w:p w14:paraId="6A2E8F63" w14:textId="77777777" w:rsidR="00C53D64" w:rsidRPr="00D56CEA" w:rsidRDefault="00C53D64" w:rsidP="002F2A24">
      <w:pPr>
        <w:pStyle w:val="Heading3"/>
        <w:rPr>
          <w:rFonts w:ascii="VIC-Bold" w:eastAsia="Times New Roman" w:hAnsi="VIC-Bold" w:cs="Times New Roman"/>
          <w:color w:val="323E4F" w:themeColor="text2" w:themeShade="BF"/>
          <w:sz w:val="36"/>
          <w:szCs w:val="36"/>
          <w:lang w:val="en" w:eastAsia="en-AU"/>
        </w:rPr>
      </w:pPr>
      <w:r w:rsidRPr="00D56CEA">
        <w:rPr>
          <w:rFonts w:ascii="VIC-Bold" w:eastAsia="Times New Roman" w:hAnsi="VIC-Bold" w:cs="Times New Roman"/>
          <w:color w:val="323E4F" w:themeColor="text2" w:themeShade="BF"/>
          <w:sz w:val="36"/>
          <w:szCs w:val="36"/>
          <w:lang w:val="en" w:eastAsia="en-AU"/>
        </w:rPr>
        <w:t>Details</w:t>
      </w:r>
    </w:p>
    <w:p w14:paraId="173FB949"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Funding for ‘targeted initiatives’ is one of three categories of funding provided for by the Student Resource Package (SRP).</w:t>
      </w:r>
    </w:p>
    <w:p w14:paraId="02B3E3B7" w14:textId="77777777" w:rsidR="00C53D64" w:rsidRDefault="00C53D64" w:rsidP="00C53D64">
      <w:pPr>
        <w:pStyle w:val="NormalWeb"/>
        <w:spacing w:line="360" w:lineRule="atLeast"/>
        <w:rPr>
          <w:rFonts w:ascii="VIC-Regular" w:hAnsi="VIC-Regular"/>
          <w:color w:val="011A3C"/>
          <w:lang w:val="en"/>
        </w:rPr>
      </w:pPr>
      <w:r w:rsidRPr="00B81AAF">
        <w:rPr>
          <w:rFonts w:ascii="VIC-Regular" w:hAnsi="VIC-Regular"/>
          <w:color w:val="011A3C"/>
          <w:lang w:val="en"/>
        </w:rPr>
        <w:t xml:space="preserve">The </w:t>
      </w:r>
      <w:r w:rsidRPr="00B81AAF">
        <w:rPr>
          <w:rStyle w:val="Strong"/>
          <w:rFonts w:ascii="VIC-Regular" w:hAnsi="VIC-Regular"/>
          <w:b w:val="0"/>
          <w:bCs w:val="0"/>
          <w:color w:val="011A3C"/>
          <w:lang w:val="en"/>
        </w:rPr>
        <w:t>targeted initiatives</w:t>
      </w:r>
      <w:r>
        <w:rPr>
          <w:rFonts w:ascii="VIC-Regular" w:hAnsi="VIC-Regular"/>
          <w:color w:val="011A3C"/>
          <w:lang w:val="en"/>
        </w:rPr>
        <w:t xml:space="preserve"> component provides funding for programs with specific targeting criteria and/or defined life spans. The </w:t>
      </w:r>
      <w:hyperlink r:id="rId81" w:history="1">
        <w:r>
          <w:rPr>
            <w:rStyle w:val="rpl-text-label2"/>
            <w:rFonts w:ascii="VIC-Regular" w:hAnsi="VIC-Regular"/>
            <w:lang w:val="en"/>
          </w:rPr>
          <w:t>Guidance tab</w:t>
        </w:r>
      </w:hyperlink>
      <w:r>
        <w:rPr>
          <w:rFonts w:ascii="VIC-Regular" w:hAnsi="VIC-Regular"/>
          <w:color w:val="011A3C"/>
          <w:lang w:val="en"/>
        </w:rPr>
        <w:t xml:space="preserve"> provides information about the following specific types of targeted initiative funding:</w:t>
      </w:r>
    </w:p>
    <w:p w14:paraId="4A338DD1"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2" w:history="1">
        <w:r w:rsidR="00C53D64">
          <w:rPr>
            <w:rStyle w:val="rpl-text-label2"/>
            <w:rFonts w:ascii="VIC-Regular" w:hAnsi="VIC-Regular"/>
            <w:lang w:val="en"/>
          </w:rPr>
          <w:t>Primary Welfare</w:t>
        </w:r>
      </w:hyperlink>
    </w:p>
    <w:p w14:paraId="0B059495"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3" w:history="1">
        <w:r w:rsidR="00C53D64">
          <w:rPr>
            <w:rStyle w:val="rpl-text-label2"/>
            <w:rFonts w:ascii="VIC-Regular" w:hAnsi="VIC-Regular"/>
            <w:lang w:val="en"/>
          </w:rPr>
          <w:t>Career Education Funding (replacing Managed Individual Pathways)</w:t>
        </w:r>
      </w:hyperlink>
    </w:p>
    <w:p w14:paraId="7021D5F1"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4" w:history="1">
        <w:r w:rsidR="00C53D64">
          <w:rPr>
            <w:rStyle w:val="rpl-text-label2"/>
            <w:rFonts w:ascii="VIC-Regular" w:hAnsi="VIC-Regular"/>
            <w:lang w:val="en"/>
          </w:rPr>
          <w:t>Vocational Education and Training Delivered to Secondary School Students</w:t>
        </w:r>
      </w:hyperlink>
    </w:p>
    <w:p w14:paraId="5D197922"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5" w:history="1">
        <w:r w:rsidR="00C53D64">
          <w:rPr>
            <w:rStyle w:val="rpl-text-label2"/>
            <w:rFonts w:ascii="VIC-Regular" w:hAnsi="VIC-Regular"/>
            <w:lang w:val="en"/>
          </w:rPr>
          <w:t>Doctors in Secondary Schools — School program lead funding</w:t>
        </w:r>
      </w:hyperlink>
    </w:p>
    <w:p w14:paraId="117DED83"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6" w:history="1">
        <w:r w:rsidR="00C53D64">
          <w:rPr>
            <w:rStyle w:val="rpl-text-label2"/>
            <w:rFonts w:ascii="VIC-Regular" w:hAnsi="VIC-Regular"/>
            <w:lang w:val="en"/>
          </w:rPr>
          <w:t>Head Start</w:t>
        </w:r>
      </w:hyperlink>
    </w:p>
    <w:p w14:paraId="4AE800F7"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7" w:history="1">
        <w:r w:rsidR="00C53D64">
          <w:rPr>
            <w:rStyle w:val="rpl-text-label2"/>
            <w:rFonts w:ascii="VIC-Regular" w:hAnsi="VIC-Regular"/>
            <w:lang w:val="en"/>
          </w:rPr>
          <w:t>Middle Years Literacy &amp; Numeracy Support (MYLNS) Initiative</w:t>
        </w:r>
      </w:hyperlink>
    </w:p>
    <w:p w14:paraId="4179E942"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8" w:history="1">
        <w:r w:rsidR="00C53D64">
          <w:rPr>
            <w:rStyle w:val="rpl-text-label2"/>
            <w:rFonts w:ascii="VIC-Regular" w:hAnsi="VIC-Regular"/>
            <w:lang w:val="en"/>
          </w:rPr>
          <w:t>Student Excellence Program Funding</w:t>
        </w:r>
      </w:hyperlink>
    </w:p>
    <w:p w14:paraId="7CF66788" w14:textId="77777777" w:rsidR="00C53D64" w:rsidRDefault="007E3659" w:rsidP="009F12E0">
      <w:pPr>
        <w:numPr>
          <w:ilvl w:val="0"/>
          <w:numId w:val="165"/>
        </w:numPr>
        <w:spacing w:before="100" w:beforeAutospacing="1" w:after="100" w:afterAutospacing="1" w:line="360" w:lineRule="atLeast"/>
        <w:rPr>
          <w:rFonts w:ascii="VIC-Regular" w:hAnsi="VIC-Regular"/>
          <w:color w:val="011A3C"/>
          <w:lang w:val="en"/>
        </w:rPr>
      </w:pPr>
      <w:hyperlink r:id="rId89" w:history="1">
        <w:r w:rsidR="00C53D64">
          <w:rPr>
            <w:rStyle w:val="rpl-text-label2"/>
            <w:rFonts w:ascii="VIC-Regular" w:hAnsi="VIC-Regular"/>
            <w:lang w:val="en"/>
          </w:rPr>
          <w:t>VCE Revision Lectures</w:t>
        </w:r>
      </w:hyperlink>
    </w:p>
    <w:p w14:paraId="13EED574" w14:textId="363E4F66" w:rsidR="00C53D64" w:rsidRDefault="007E3659" w:rsidP="009F12E0">
      <w:pPr>
        <w:numPr>
          <w:ilvl w:val="0"/>
          <w:numId w:val="165"/>
        </w:numPr>
        <w:spacing w:before="100" w:beforeAutospacing="1" w:after="100" w:afterAutospacing="1" w:line="360" w:lineRule="atLeast"/>
        <w:rPr>
          <w:rStyle w:val="rpl-text-label2"/>
          <w:rFonts w:ascii="VIC-Regular" w:hAnsi="VIC-Regular"/>
          <w:lang w:val="en"/>
        </w:rPr>
      </w:pPr>
      <w:hyperlink r:id="rId90" w:history="1">
        <w:r w:rsidR="00C53D64">
          <w:rPr>
            <w:rStyle w:val="rpl-text-label2"/>
            <w:rFonts w:ascii="VIC-Regular" w:hAnsi="VIC-Regular"/>
            <w:lang w:val="en"/>
          </w:rPr>
          <w:t>Professional Learning Communities (PLC) Link Schools</w:t>
        </w:r>
      </w:hyperlink>
    </w:p>
    <w:p w14:paraId="4B014F82" w14:textId="2574976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14CBA199" w14:textId="77777777" w:rsidR="00A12061" w:rsidRDefault="00A12061">
      <w:pPr>
        <w:rPr>
          <w:rFonts w:asciiTheme="majorHAnsi" w:eastAsia="Times New Roman" w:hAnsiTheme="majorHAnsi" w:cstheme="majorBidi"/>
          <w:b/>
          <w:color w:val="2F5496" w:themeColor="accent1" w:themeShade="BF"/>
          <w:sz w:val="36"/>
          <w:szCs w:val="26"/>
          <w:lang w:val="en" w:eastAsia="en-AU"/>
        </w:rPr>
      </w:pPr>
      <w:r>
        <w:br w:type="page"/>
      </w:r>
    </w:p>
    <w:p w14:paraId="4E018E67" w14:textId="7B4803ED" w:rsidR="00EA34C0" w:rsidRPr="00223787" w:rsidRDefault="00EA34C0" w:rsidP="00842992">
      <w:pPr>
        <w:pStyle w:val="Heading2"/>
      </w:pPr>
      <w:bookmarkStart w:id="71" w:name="_Toc52796213"/>
      <w:r w:rsidRPr="00223787">
        <w:lastRenderedPageBreak/>
        <w:t>Primary Welfare (Reference 50)</w:t>
      </w:r>
      <w:bookmarkEnd w:id="71"/>
    </w:p>
    <w:p w14:paraId="2CC0E866"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The Primary Welfare Officer Initiative is designed to enhance the capacity of schools to develop positive school cultures and to support students who are at risk of disengagement and not achieving their educational potential. The primary welfare officer initiative extends work undertaken in government primary, P-12 and special schools with the greatest need in Victoria to promote a safe and supportive environment and enhance student outcomes.</w:t>
      </w:r>
    </w:p>
    <w:p w14:paraId="7FA068DE" w14:textId="5F8DE43E"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Primary Welfare Officer allocations in the SRP have been set for 202</w:t>
      </w:r>
      <w:r w:rsidR="00E44A5A">
        <w:rPr>
          <w:rFonts w:ascii="VIC-Regular" w:eastAsia="Times New Roman" w:hAnsi="VIC-Regular" w:cs="Arial"/>
          <w:color w:val="011A3C"/>
          <w:sz w:val="24"/>
          <w:szCs w:val="24"/>
          <w:lang w:val="en" w:eastAsia="en-AU"/>
        </w:rPr>
        <w:t>1</w:t>
      </w:r>
      <w:r w:rsidRPr="00223787">
        <w:rPr>
          <w:rFonts w:ascii="VIC-Regular" w:eastAsia="Times New Roman" w:hAnsi="VIC-Regular" w:cs="Arial"/>
          <w:color w:val="011A3C"/>
          <w:sz w:val="24"/>
          <w:szCs w:val="24"/>
          <w:lang w:val="en" w:eastAsia="en-AU"/>
        </w:rPr>
        <w:t>.   Schools do not have to apply for funding.  Funding is provided to schools that have primary enrolments at the campus level provided the 2011 Student Family Occupation density for the campus is equal to or greater than 0.4559. </w:t>
      </w:r>
    </w:p>
    <w:p w14:paraId="47E4085B"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 xml:space="preserve">Where a school’s campus enrolments increase additional per student funding will be provided. However, where enrolments decline no adjustment will be made.  </w:t>
      </w:r>
      <w:r w:rsidRPr="00223787">
        <w:rPr>
          <w:rFonts w:ascii="VIC-Regular" w:eastAsia="Times New Roman" w:hAnsi="VIC-Regular" w:cs="Arial"/>
          <w:b/>
          <w:bCs/>
          <w:color w:val="011A3C"/>
          <w:sz w:val="24"/>
          <w:szCs w:val="24"/>
          <w:lang w:val="en" w:eastAsia="en-AU"/>
        </w:rPr>
        <w:t>No adjustments are made for changes to Student Family Occupation density</w:t>
      </w:r>
      <w:r w:rsidRPr="00223787">
        <w:rPr>
          <w:rFonts w:ascii="VIC-Regular" w:eastAsia="Times New Roman" w:hAnsi="VIC-Regular" w:cs="Arial"/>
          <w:color w:val="011A3C"/>
          <w:sz w:val="24"/>
          <w:szCs w:val="24"/>
          <w:lang w:val="en" w:eastAsia="en-AU"/>
        </w:rPr>
        <w:t>. </w:t>
      </w:r>
    </w:p>
    <w:p w14:paraId="172F4518" w14:textId="77777777" w:rsidR="002E6A59" w:rsidRPr="0082626F" w:rsidRDefault="002E6A59" w:rsidP="002E6A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bookmarkStart w:id="72" w:name="_Hlk46922537"/>
      <w:r w:rsidRPr="0082626F">
        <w:rPr>
          <w:rFonts w:ascii="VIC-Bold" w:eastAsia="Times New Roman" w:hAnsi="VIC-Bold" w:cs="Times New Roman"/>
          <w:b/>
          <w:bCs/>
          <w:color w:val="011A3C"/>
          <w:sz w:val="27"/>
          <w:szCs w:val="27"/>
          <w:lang w:val="en" w:eastAsia="en-AU"/>
        </w:rPr>
        <w:t>Eligibility</w:t>
      </w:r>
    </w:p>
    <w:p w14:paraId="0B7A76AC" w14:textId="77777777" w:rsidR="002E6A59"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5B95">
        <w:rPr>
          <w:rFonts w:ascii="VIC-Regular" w:eastAsia="Times New Roman" w:hAnsi="VIC-Regular" w:cs="Times New Roman"/>
          <w:color w:val="011A3C"/>
          <w:sz w:val="24"/>
          <w:szCs w:val="24"/>
          <w:lang w:val="en" w:eastAsia="en-AU"/>
        </w:rPr>
        <w:t xml:space="preserve">Schools with the following campus types are eligible for the </w:t>
      </w:r>
      <w:r>
        <w:rPr>
          <w:rFonts w:ascii="VIC-Regular" w:eastAsia="Times New Roman" w:hAnsi="VIC-Regular" w:cs="Times New Roman"/>
          <w:color w:val="011A3C"/>
          <w:sz w:val="24"/>
          <w:szCs w:val="24"/>
          <w:lang w:val="en" w:eastAsia="en-AU"/>
        </w:rPr>
        <w:t>Primary Welfare</w:t>
      </w:r>
      <w:r w:rsidRPr="00E95B95">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F</w:t>
      </w:r>
      <w:r w:rsidRPr="00E95B95">
        <w:rPr>
          <w:rFonts w:ascii="VIC-Regular" w:eastAsia="Times New Roman" w:hAnsi="VIC-Regular" w:cs="Times New Roman"/>
          <w:color w:val="011A3C"/>
          <w:sz w:val="24"/>
          <w:szCs w:val="24"/>
          <w:lang w:val="en" w:eastAsia="en-AU"/>
        </w:rPr>
        <w:t>unding at campus level</w:t>
      </w:r>
      <w:r>
        <w:rPr>
          <w:rFonts w:ascii="VIC-Regular" w:eastAsia="Times New Roman" w:hAnsi="VIC-Regular" w:cs="Times New Roman"/>
          <w:color w:val="011A3C"/>
          <w:sz w:val="24"/>
          <w:szCs w:val="24"/>
          <w:lang w:val="en" w:eastAsia="en-AU"/>
        </w:rPr>
        <w:t>.</w:t>
      </w:r>
    </w:p>
    <w:p w14:paraId="74276CDD" w14:textId="77777777" w:rsidR="002E6A59" w:rsidRPr="00371B75" w:rsidRDefault="002E6A59" w:rsidP="002E6A59">
      <w:pPr>
        <w:pStyle w:val="ListParagraph"/>
        <w:numPr>
          <w:ilvl w:val="0"/>
          <w:numId w:val="74"/>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Primary</w:t>
      </w:r>
    </w:p>
    <w:p w14:paraId="278845F5" w14:textId="6179F97C" w:rsidR="002E6A59" w:rsidRPr="00371B75" w:rsidRDefault="002E6A59" w:rsidP="002E6A59">
      <w:pPr>
        <w:pStyle w:val="ListParagraph"/>
        <w:numPr>
          <w:ilvl w:val="0"/>
          <w:numId w:val="74"/>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Pri</w:t>
      </w:r>
      <w:r w:rsidR="00E44A5A" w:rsidRPr="00371B75">
        <w:rPr>
          <w:color w:val="323E4F" w:themeColor="text2" w:themeShade="BF"/>
          <w:lang w:val="en-US"/>
        </w:rPr>
        <w:t>mary</w:t>
      </w:r>
      <w:r w:rsidRPr="00371B75">
        <w:rPr>
          <w:color w:val="323E4F" w:themeColor="text2" w:themeShade="BF"/>
          <w:lang w:val="en-US"/>
        </w:rPr>
        <w:t>/</w:t>
      </w:r>
      <w:r w:rsidR="00E44A5A" w:rsidRPr="00371B75">
        <w:rPr>
          <w:color w:val="323E4F" w:themeColor="text2" w:themeShade="BF"/>
          <w:lang w:val="en-US"/>
        </w:rPr>
        <w:t>S</w:t>
      </w:r>
      <w:r w:rsidRPr="00371B75">
        <w:rPr>
          <w:color w:val="323E4F" w:themeColor="text2" w:themeShade="BF"/>
          <w:lang w:val="en-US"/>
        </w:rPr>
        <w:t>ec</w:t>
      </w:r>
      <w:r w:rsidR="00E44A5A" w:rsidRPr="00371B75">
        <w:rPr>
          <w:color w:val="323E4F" w:themeColor="text2" w:themeShade="BF"/>
          <w:lang w:val="en-US"/>
        </w:rPr>
        <w:t>ondary Combined</w:t>
      </w:r>
    </w:p>
    <w:p w14:paraId="31F0A298" w14:textId="77777777" w:rsidR="002E6A59" w:rsidRPr="00371B75" w:rsidRDefault="002E6A59" w:rsidP="002E6A59">
      <w:pPr>
        <w:pStyle w:val="ListParagraph"/>
        <w:numPr>
          <w:ilvl w:val="0"/>
          <w:numId w:val="74"/>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Special</w:t>
      </w:r>
    </w:p>
    <w:p w14:paraId="779A6BD8" w14:textId="77777777" w:rsidR="002E6A59" w:rsidRPr="00371B75" w:rsidRDefault="002E6A59" w:rsidP="002E6A59">
      <w:pPr>
        <w:pStyle w:val="ListParagraph"/>
        <w:numPr>
          <w:ilvl w:val="0"/>
          <w:numId w:val="74"/>
        </w:numPr>
        <w:rPr>
          <w:color w:val="323E4F" w:themeColor="text2" w:themeShade="BF"/>
          <w:lang w:val="en-US"/>
        </w:rPr>
      </w:pPr>
      <w:r w:rsidRPr="00371B75">
        <w:rPr>
          <w:color w:val="323E4F" w:themeColor="text2" w:themeShade="BF"/>
          <w:lang w:val="en-US"/>
        </w:rPr>
        <w:t>Language</w:t>
      </w:r>
    </w:p>
    <w:p w14:paraId="7A283A5F" w14:textId="77777777" w:rsidR="002E6A59" w:rsidRPr="00F70579" w:rsidRDefault="002E6A59" w:rsidP="002E6A59">
      <w:pPr>
        <w:spacing w:before="100" w:beforeAutospacing="1" w:after="100" w:afterAutospacing="1" w:line="360" w:lineRule="atLeast"/>
        <w:rPr>
          <w:lang w:val="en" w:eastAsia="en-AU"/>
        </w:rPr>
      </w:pPr>
      <w:r w:rsidRPr="00B222C1">
        <w:rPr>
          <w:lang w:val="en" w:eastAsia="en-AU"/>
        </w:rPr>
        <w:t>Funding is calculated at the Indicative, Confirmed and Revised cycles</w:t>
      </w:r>
      <w:r>
        <w:rPr>
          <w:lang w:val="en" w:eastAsia="en-AU"/>
        </w:rPr>
        <w:t>, funding is allocated through credit funding</w:t>
      </w:r>
      <w:bookmarkEnd w:id="72"/>
      <w:r>
        <w:rPr>
          <w:lang w:val="en" w:eastAsia="en-AU"/>
        </w:rPr>
        <w:t>.</w:t>
      </w:r>
    </w:p>
    <w:p w14:paraId="041BD6C5" w14:textId="2B7A8E0C" w:rsidR="00EA34C0" w:rsidRPr="0082626F" w:rsidRDefault="00EA34C0" w:rsidP="00EA34C0">
      <w:pPr>
        <w:spacing w:before="100" w:beforeAutospacing="1" w:after="100" w:afterAutospacing="1" w:line="288" w:lineRule="atLeast"/>
        <w:outlineLvl w:val="3"/>
        <w:rPr>
          <w:rFonts w:ascii="VIC-Bold" w:eastAsia="Times New Roman" w:hAnsi="VIC-Bold" w:cs="Arial"/>
          <w:b/>
          <w:bCs/>
          <w:color w:val="011A3C"/>
          <w:sz w:val="26"/>
          <w:szCs w:val="28"/>
          <w:lang w:val="en" w:eastAsia="en-AU"/>
        </w:rPr>
      </w:pPr>
      <w:r w:rsidRPr="0082626F">
        <w:rPr>
          <w:rFonts w:ascii="VIC-Bold" w:eastAsia="Times New Roman" w:hAnsi="VIC-Bold" w:cs="Arial"/>
          <w:b/>
          <w:bCs/>
          <w:color w:val="011A3C"/>
          <w:sz w:val="26"/>
          <w:szCs w:val="28"/>
          <w:lang w:val="en" w:eastAsia="en-AU"/>
        </w:rPr>
        <w:t>Calculation</w:t>
      </w:r>
    </w:p>
    <w:p w14:paraId="3B0AF28C"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Primary Welfare Officer funding model in the SRP from 2012 consists of base funding and per student funding with a cap on the total funding available at each campus. The formula is as follows</w:t>
      </w:r>
    </w:p>
    <w:p w14:paraId="2E07BA6E"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Base + ( [School Campus SFO – State-wide SFO Threshold] x Student Rate x Enrolments)</w:t>
      </w:r>
    </w:p>
    <w:p w14:paraId="7987D211" w14:textId="1356858A" w:rsidR="00EA34C0" w:rsidRPr="00D71AF6" w:rsidRDefault="00EA34C0" w:rsidP="00EA34C0">
      <w:p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D71AF6">
        <w:rPr>
          <w:rFonts w:ascii="VIC-Bold" w:eastAsia="Times New Roman" w:hAnsi="VIC-Bold" w:cs="Arial"/>
          <w:b/>
          <w:bCs/>
          <w:color w:val="011A3C"/>
          <w:sz w:val="24"/>
          <w:szCs w:val="24"/>
          <w:lang w:val="en" w:eastAsia="en-AU"/>
        </w:rPr>
        <w:lastRenderedPageBreak/>
        <w:t xml:space="preserve">Rates </w:t>
      </w:r>
      <w:r w:rsidRPr="00D71AF6">
        <w:rPr>
          <w:rFonts w:ascii="VIC-Bold" w:eastAsia="Times New Roman" w:hAnsi="VIC-Bold" w:cs="Arial" w:hint="eastAsia"/>
          <w:b/>
          <w:bCs/>
          <w:color w:val="011A3C"/>
          <w:sz w:val="24"/>
          <w:szCs w:val="24"/>
          <w:lang w:val="en" w:eastAsia="en-AU"/>
        </w:rPr>
        <w:t>—</w:t>
      </w:r>
      <w:r w:rsidRPr="00D71AF6">
        <w:rPr>
          <w:rFonts w:ascii="VIC-Bold" w:eastAsia="Times New Roman" w:hAnsi="VIC-Bold" w:cs="Arial"/>
          <w:b/>
          <w:bCs/>
          <w:color w:val="011A3C"/>
          <w:sz w:val="24"/>
          <w:szCs w:val="24"/>
          <w:lang w:val="en" w:eastAsia="en-AU"/>
        </w:rPr>
        <w:t xml:space="preserve"> 202</w:t>
      </w:r>
      <w:r w:rsidR="00E44A5A">
        <w:rPr>
          <w:rFonts w:ascii="VIC-Bold" w:eastAsia="Times New Roman" w:hAnsi="VIC-Bold" w:cs="Arial"/>
          <w:b/>
          <w:bCs/>
          <w:color w:val="011A3C"/>
          <w:sz w:val="24"/>
          <w:szCs w:val="24"/>
          <w:lang w:val="en" w:eastAsia="en-AU"/>
        </w:rPr>
        <w:t>1</w:t>
      </w:r>
    </w:p>
    <w:p w14:paraId="6A92DAA6" w14:textId="77777777" w:rsidR="00EA34C0" w:rsidRPr="00223787" w:rsidRDefault="00EA34C0" w:rsidP="00D71AF6">
      <w:pPr>
        <w:numPr>
          <w:ilvl w:val="0"/>
          <w:numId w:val="75"/>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SFO Threshold — 0.4559</w:t>
      </w:r>
    </w:p>
    <w:p w14:paraId="50710FCD" w14:textId="3B2A1033" w:rsidR="00EA34C0" w:rsidRPr="00E44A5A" w:rsidRDefault="00EA34C0" w:rsidP="001F2ECD">
      <w:pPr>
        <w:numPr>
          <w:ilvl w:val="0"/>
          <w:numId w:val="75"/>
        </w:numPr>
        <w:spacing w:before="100" w:beforeAutospacing="1" w:after="100" w:afterAutospacing="1" w:line="360" w:lineRule="atLeast"/>
        <w:rPr>
          <w:rFonts w:ascii="VIC-Regular" w:eastAsia="Times New Roman" w:hAnsi="VIC-Regular" w:cs="Arial"/>
          <w:color w:val="011A3C"/>
          <w:sz w:val="24"/>
          <w:szCs w:val="24"/>
          <w:lang w:val="en" w:eastAsia="en-AU"/>
        </w:rPr>
      </w:pPr>
      <w:r w:rsidRPr="00E44A5A">
        <w:rPr>
          <w:rFonts w:ascii="VIC-Regular" w:eastAsia="Times New Roman" w:hAnsi="VIC-Regular" w:cs="Arial"/>
          <w:color w:val="011A3C"/>
          <w:sz w:val="24"/>
          <w:szCs w:val="24"/>
          <w:lang w:val="en" w:eastAsia="en-AU"/>
        </w:rPr>
        <w:t xml:space="preserve">Base — </w:t>
      </w:r>
      <w:r w:rsidR="00E44A5A">
        <w:rPr>
          <w:rFonts w:ascii="VIC-Regular" w:eastAsia="Times New Roman" w:hAnsi="VIC-Regular" w:cs="Arial"/>
          <w:color w:val="011A3C"/>
          <w:sz w:val="24"/>
          <w:szCs w:val="24"/>
          <w:lang w:val="en" w:eastAsia="en-AU"/>
        </w:rPr>
        <w:t>$</w:t>
      </w:r>
      <w:r w:rsidR="00E44A5A" w:rsidRPr="00E44A5A">
        <w:rPr>
          <w:rFonts w:ascii="VIC-Regular" w:eastAsia="Times New Roman" w:hAnsi="VIC-Regular" w:cs="Arial"/>
          <w:color w:val="011A3C"/>
          <w:sz w:val="24"/>
          <w:szCs w:val="24"/>
          <w:lang w:val="en" w:eastAsia="en-AU"/>
        </w:rPr>
        <w:t>18,524</w:t>
      </w:r>
      <w:r w:rsidRPr="00E44A5A">
        <w:rPr>
          <w:rFonts w:ascii="VIC-Regular" w:eastAsia="Times New Roman" w:hAnsi="VIC-Regular" w:cs="Arial"/>
          <w:color w:val="011A3C"/>
          <w:sz w:val="24"/>
          <w:szCs w:val="24"/>
          <w:lang w:val="en" w:eastAsia="en-AU"/>
        </w:rPr>
        <w:t xml:space="preserve">Per Student Rate — </w:t>
      </w:r>
      <w:r w:rsidR="00E44A5A">
        <w:rPr>
          <w:rFonts w:ascii="VIC-Regular" w:eastAsia="Times New Roman" w:hAnsi="VIC-Regular" w:cs="Arial"/>
          <w:color w:val="011A3C"/>
          <w:sz w:val="24"/>
          <w:szCs w:val="24"/>
          <w:lang w:val="en" w:eastAsia="en-AU"/>
        </w:rPr>
        <w:t>$</w:t>
      </w:r>
      <w:r w:rsidR="00E44A5A" w:rsidRPr="00E44A5A">
        <w:rPr>
          <w:rFonts w:ascii="VIC-Regular" w:eastAsia="Times New Roman" w:hAnsi="VIC-Regular" w:cs="Arial"/>
          <w:color w:val="011A3C"/>
          <w:sz w:val="24"/>
          <w:szCs w:val="24"/>
          <w:lang w:val="en" w:eastAsia="en-AU"/>
        </w:rPr>
        <w:t>1,181.07</w:t>
      </w:r>
    </w:p>
    <w:p w14:paraId="45EA7E26" w14:textId="77777777" w:rsidR="003E6B76" w:rsidRDefault="00EA34C0" w:rsidP="003E6B76">
      <w:pPr>
        <w:numPr>
          <w:ilvl w:val="0"/>
          <w:numId w:val="75"/>
        </w:num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E44A5A">
        <w:rPr>
          <w:rFonts w:ascii="VIC-Regular" w:eastAsia="Times New Roman" w:hAnsi="VIC-Regular" w:cs="Arial"/>
          <w:color w:val="011A3C"/>
          <w:sz w:val="24"/>
          <w:szCs w:val="24"/>
          <w:lang w:val="en" w:eastAsia="en-AU"/>
        </w:rPr>
        <w:t xml:space="preserve">Total Funding Per Campus Cap — </w:t>
      </w:r>
      <w:r w:rsidR="00E44A5A">
        <w:rPr>
          <w:rFonts w:ascii="VIC-Regular" w:eastAsia="Times New Roman" w:hAnsi="VIC-Regular" w:cs="Arial"/>
          <w:color w:val="011A3C"/>
          <w:sz w:val="24"/>
          <w:szCs w:val="24"/>
          <w:lang w:val="en" w:eastAsia="en-AU"/>
        </w:rPr>
        <w:t>$</w:t>
      </w:r>
      <w:r w:rsidR="00E44A5A" w:rsidRPr="00E44A5A">
        <w:rPr>
          <w:rFonts w:ascii="VIC-Regular" w:eastAsia="Times New Roman" w:hAnsi="VIC-Regular" w:cs="Arial"/>
          <w:color w:val="011A3C"/>
          <w:sz w:val="24"/>
          <w:szCs w:val="24"/>
          <w:lang w:val="en" w:eastAsia="en-AU"/>
        </w:rPr>
        <w:t>88,360</w:t>
      </w:r>
      <w:r w:rsidR="003E6B76">
        <w:rPr>
          <w:rFonts w:ascii="VIC-Bold" w:eastAsia="Times New Roman" w:hAnsi="VIC-Bold" w:cs="Arial"/>
          <w:b/>
          <w:bCs/>
          <w:color w:val="011A3C"/>
          <w:sz w:val="24"/>
          <w:szCs w:val="24"/>
          <w:lang w:val="en" w:eastAsia="en-AU"/>
        </w:rPr>
        <w:t xml:space="preserve"> </w:t>
      </w:r>
    </w:p>
    <w:p w14:paraId="44E64EEC" w14:textId="6D1125F8" w:rsidR="00EA34C0" w:rsidRPr="003E6B76" w:rsidRDefault="00EA34C0" w:rsidP="003E6B76">
      <w:pPr>
        <w:spacing w:before="100" w:beforeAutospacing="1" w:after="100" w:afterAutospacing="1" w:line="288" w:lineRule="atLeast"/>
        <w:ind w:left="360"/>
        <w:outlineLvl w:val="3"/>
        <w:rPr>
          <w:rFonts w:ascii="VIC-Bold" w:eastAsia="Times New Roman" w:hAnsi="VIC-Bold" w:cs="Arial"/>
          <w:b/>
          <w:bCs/>
          <w:color w:val="011A3C"/>
          <w:sz w:val="24"/>
          <w:szCs w:val="24"/>
          <w:lang w:val="en" w:eastAsia="en-AU"/>
        </w:rPr>
      </w:pPr>
      <w:r w:rsidRPr="003E6B76">
        <w:rPr>
          <w:rFonts w:ascii="VIC-Bold" w:eastAsia="Times New Roman" w:hAnsi="VIC-Bold" w:cs="Arial"/>
          <w:b/>
          <w:bCs/>
          <w:color w:val="011A3C"/>
          <w:sz w:val="24"/>
          <w:szCs w:val="24"/>
          <w:lang w:val="en" w:eastAsia="en-AU"/>
        </w:rPr>
        <w:t>Further Information</w:t>
      </w:r>
    </w:p>
    <w:p w14:paraId="526E8E79" w14:textId="77777777" w:rsidR="00EA34C0" w:rsidRPr="00223787" w:rsidRDefault="00EA34C0" w:rsidP="00D71AF6">
      <w:pPr>
        <w:numPr>
          <w:ilvl w:val="0"/>
          <w:numId w:val="76"/>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Primary Welfare Officer Initiative — provides general information about the Primary Welfare Officer Initiative</w:t>
      </w:r>
    </w:p>
    <w:p w14:paraId="765C9085" w14:textId="77777777" w:rsidR="00EA34C0" w:rsidRPr="0021379B" w:rsidRDefault="00EA34C0" w:rsidP="00D71AF6">
      <w:pPr>
        <w:numPr>
          <w:ilvl w:val="0"/>
          <w:numId w:val="76"/>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 xml:space="preserve">The </w:t>
      </w:r>
      <w:hyperlink r:id="rId91" w:history="1">
        <w:r w:rsidRPr="00223787">
          <w:rPr>
            <w:rFonts w:ascii="VIC-Regular" w:eastAsia="Times New Roman" w:hAnsi="VIC-Regular" w:cs="Arial"/>
            <w:color w:val="011A3C"/>
            <w:sz w:val="24"/>
            <w:szCs w:val="24"/>
            <w:lang w:val="en" w:eastAsia="en-AU"/>
          </w:rPr>
          <w:t>Student Engagement Policy</w:t>
        </w:r>
      </w:hyperlink>
      <w:r w:rsidRPr="00223787">
        <w:rPr>
          <w:rFonts w:ascii="VIC-Regular" w:eastAsia="Times New Roman" w:hAnsi="VIC-Regular" w:cs="Arial"/>
          <w:color w:val="011A3C"/>
          <w:sz w:val="24"/>
          <w:szCs w:val="24"/>
          <w:lang w:val="en" w:eastAsia="en-AU"/>
        </w:rPr>
        <w:t xml:space="preserve"> provides advice, resources and strategies for schools on developing a Student Engagement Policy; promoting positive student behaviour; and responding to challenging behaviour. It provides resources schools can access to support and improve student engagement.</w:t>
      </w:r>
      <w:r w:rsidRPr="0021379B">
        <w:rPr>
          <w:rFonts w:ascii="VIC-Regular" w:eastAsia="Times New Roman" w:hAnsi="VIC-Regular" w:cs="Arial"/>
          <w:color w:val="011A3C"/>
          <w:sz w:val="24"/>
          <w:szCs w:val="24"/>
          <w:lang w:val="en" w:eastAsia="en-AU"/>
        </w:rPr>
        <w:br w:type="page"/>
      </w:r>
    </w:p>
    <w:p w14:paraId="28C3D01E" w14:textId="77777777" w:rsidR="00EA34C0" w:rsidRPr="00223787" w:rsidRDefault="00EA34C0" w:rsidP="00842992">
      <w:pPr>
        <w:pStyle w:val="Heading2"/>
      </w:pPr>
      <w:bookmarkStart w:id="73" w:name="_Toc52796214"/>
      <w:bookmarkStart w:id="74" w:name="_Hlk50304235"/>
      <w:r w:rsidRPr="00223787">
        <w:lastRenderedPageBreak/>
        <w:t>Vocational Education and Training Delivered to Secondary School Students (Reference 56)</w:t>
      </w:r>
      <w:bookmarkEnd w:id="73"/>
    </w:p>
    <w:p w14:paraId="7B13E30A"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Program description</w:t>
      </w:r>
    </w:p>
    <w:p w14:paraId="44F9F62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Vocational Education and Training (VET) delivered to secondary school students is a key component of the Victorian Government's strategy to support high quality vocational pathways, increase student retention, and improve Year 12 or equivalent completion rates by providing options for all students.</w:t>
      </w:r>
    </w:p>
    <w:p w14:paraId="446562BA"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VET studies can contribute towards the completion of senior secondary certificates, either the Victorian Certificate of Education (VCE) or the Victorian Certificate of Applied Learning (VCAL).</w:t>
      </w:r>
    </w:p>
    <w:p w14:paraId="00895FA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core learning allocation in the Student Resource Package (SRP) provided to schools for each student is the primary source of funding for VET programs. Government schools are also provided with targeted VET funding to support the higher cost of provision in this area.</w:t>
      </w:r>
    </w:p>
    <w:p w14:paraId="31263FB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2018–19 Budget provided more funding to increase the quality and availability of VET programs in government schools. This funding includes:</w:t>
      </w:r>
    </w:p>
    <w:p w14:paraId="2367FB7F" w14:textId="77777777" w:rsidR="00EA34C0" w:rsidRPr="00223787" w:rsidRDefault="00EA34C0" w:rsidP="00D71AF6">
      <w:pPr>
        <w:numPr>
          <w:ilvl w:val="0"/>
          <w:numId w:val="8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$9.1m (over 4 years) in additional targeted VET funding to meet the continued growth in demand for VET programs</w:t>
      </w:r>
    </w:p>
    <w:p w14:paraId="67280134" w14:textId="7D925513" w:rsidR="00EA34C0" w:rsidRPr="00223787" w:rsidRDefault="00EA34C0" w:rsidP="00D71AF6">
      <w:pPr>
        <w:numPr>
          <w:ilvl w:val="0"/>
          <w:numId w:val="8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$14.6m (over 4 years) for government schools that purchase VET programs on the Skills First course list from the TAFE network. The amount paid by government would be equal to the gap between current total funding (core SRP for VET and targeted VET funding) and the Skills First subsidy and maximum exemption rate. A 10% rural loading will be applied where relevant.. TAFE Supplement funds will be paid against a separate budget line in the Term 3 quarterly cash grant through the Student Resource Package once actual eligible VET enrolments are known.</w:t>
      </w:r>
    </w:p>
    <w:p w14:paraId="04C303B8"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Components of VET funding</w:t>
      </w:r>
    </w:p>
    <w:p w14:paraId="48726124" w14:textId="3456B323"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There are three components of VET funding. The two existing and universally available components of VET funding are the core student learning </w:t>
      </w:r>
      <w:r w:rsidRPr="00223787">
        <w:rPr>
          <w:rFonts w:ascii="VIC-Regular" w:eastAsia="Times New Roman" w:hAnsi="VIC-Regular" w:cs="Times New Roman"/>
          <w:color w:val="011A3C"/>
          <w:sz w:val="24"/>
          <w:szCs w:val="24"/>
          <w:lang w:val="en" w:eastAsia="en-AU"/>
        </w:rPr>
        <w:lastRenderedPageBreak/>
        <w:t xml:space="preserve">component of the SRP, and Targeted VET Funding. The third component (TAFE Supplement) is available </w:t>
      </w:r>
      <w:r w:rsidR="00C37A79" w:rsidRPr="00C37A79">
        <w:rPr>
          <w:rFonts w:ascii="VIC-Regular" w:eastAsia="Times New Roman" w:hAnsi="VIC-Regular" w:cs="Times New Roman"/>
          <w:color w:val="011A3C"/>
          <w:sz w:val="24"/>
          <w:szCs w:val="24"/>
          <w:lang w:val="en" w:eastAsia="en-AU"/>
        </w:rPr>
        <w:t xml:space="preserve">for four years </w:t>
      </w:r>
      <w:r w:rsidRPr="00223787">
        <w:rPr>
          <w:rFonts w:ascii="VIC-Regular" w:eastAsia="Times New Roman" w:hAnsi="VIC-Regular" w:cs="Times New Roman"/>
          <w:color w:val="011A3C"/>
          <w:sz w:val="24"/>
          <w:szCs w:val="24"/>
          <w:lang w:val="en" w:eastAsia="en-AU"/>
        </w:rPr>
        <w:t>from 2019 for government schools that purchase VET programs on the Skills First course list from the TAFE network, where there is a gap between current VET funding and the Skills First rate.</w:t>
      </w:r>
    </w:p>
    <w:p w14:paraId="67057DDD"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 xml:space="preserve">SRP </w:t>
      </w:r>
      <w:r w:rsidRPr="00D71AF6">
        <w:rPr>
          <w:rFonts w:ascii="VIC-Bold" w:eastAsia="Times New Roman" w:hAnsi="VIC-Bold" w:cs="Times New Roman" w:hint="eastAsia"/>
          <w:b/>
          <w:bCs/>
          <w:color w:val="011A3C"/>
          <w:sz w:val="27"/>
          <w:szCs w:val="27"/>
          <w:lang w:val="en" w:eastAsia="en-AU"/>
        </w:rPr>
        <w:t>— </w:t>
      </w:r>
      <w:r w:rsidRPr="00D71AF6">
        <w:rPr>
          <w:rFonts w:ascii="VIC-Bold" w:eastAsia="Times New Roman" w:hAnsi="VIC-Bold" w:cs="Times New Roman"/>
          <w:b/>
          <w:bCs/>
          <w:color w:val="011A3C"/>
          <w:sz w:val="27"/>
          <w:szCs w:val="27"/>
          <w:lang w:val="en" w:eastAsia="en-AU"/>
        </w:rPr>
        <w:t>core student learning component</w:t>
      </w:r>
    </w:p>
    <w:p w14:paraId="58BA74AE"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To estimate the program delivery component of core SRP that would help cover the provision of VET programs, costs are separated into three categories: (1) classroom teaching, (2) non-classroom costs, and (3) Computerised Administrative System Environment in Schools (CASES21) recorded expenditure. The costs, as a percentage of all costs at Years 11 and 12, are estimated as follows:</w:t>
      </w:r>
    </w:p>
    <w:p w14:paraId="041B188C" w14:textId="77777777" w:rsidR="00EA34C0" w:rsidRPr="00223787" w:rsidRDefault="00EA34C0" w:rsidP="00D71AF6">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classroom teaching: 57%</w:t>
      </w:r>
    </w:p>
    <w:p w14:paraId="1E896477" w14:textId="77777777" w:rsidR="00EA34C0" w:rsidRPr="00223787" w:rsidRDefault="00EA34C0" w:rsidP="00D71AF6">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non-classroom costs: 26%</w:t>
      </w:r>
    </w:p>
    <w:p w14:paraId="17DFE626" w14:textId="77777777" w:rsidR="00EA34C0" w:rsidRPr="00223787" w:rsidRDefault="00EA34C0" w:rsidP="00D71AF6">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CASES expenditure items: 17%</w:t>
      </w:r>
    </w:p>
    <w:p w14:paraId="038D0D2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Total of all cost items: 100%</w:t>
      </w:r>
    </w:p>
    <w:p w14:paraId="553D9636"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It is assumed that:</w:t>
      </w:r>
    </w:p>
    <w:p w14:paraId="36B86CAF" w14:textId="77777777" w:rsidR="00EA34C0" w:rsidRPr="00223787" w:rsidRDefault="00EA34C0" w:rsidP="00D71AF6">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100% of the classroom teaching duties should be included in the calculation of the core SRP available for program delivery, as they all relate to the direct delivery of courses</w:t>
      </w:r>
    </w:p>
    <w:p w14:paraId="5C2E51F6" w14:textId="77777777" w:rsidR="00EA34C0" w:rsidRPr="00223787" w:rsidRDefault="00EA34C0" w:rsidP="00D71AF6">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of the non-classroom costs, only a portion is related directly to course delivery. It was estimated that 50% of these costs were applicable to course delivery, and</w:t>
      </w:r>
    </w:p>
    <w:p w14:paraId="780B22C8" w14:textId="77777777" w:rsidR="00EA34C0" w:rsidRPr="00223787" w:rsidRDefault="00EA34C0" w:rsidP="00D71AF6">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it is suggested that approximately 30% of CASES expenditure items are directly related to program delivery and should be included in the calculation of the SRP core delivery</w:t>
      </w:r>
    </w:p>
    <w:p w14:paraId="5E42396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combination of these elements is used to provide an estimate of the notional proportion of core SRP available for program delivery:</w:t>
      </w:r>
    </w:p>
    <w:p w14:paraId="2DA03FA4" w14:textId="77777777" w:rsidR="00EA34C0" w:rsidRPr="00223787" w:rsidRDefault="00EA34C0" w:rsidP="00D71AF6">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Classroom teaching (CT)</w:t>
      </w:r>
      <w:r w:rsidRPr="00223787">
        <w:rPr>
          <w:rFonts w:ascii="VIC-Regular" w:eastAsia="Times New Roman" w:hAnsi="VIC-Regular" w:cs="Times New Roman"/>
          <w:color w:val="011A3C"/>
          <w:sz w:val="24"/>
          <w:szCs w:val="24"/>
          <w:lang w:val="en" w:eastAsia="en-AU"/>
        </w:rPr>
        <w:t xml:space="preserve"> — 100% of 57% = 57% of SRP</w:t>
      </w:r>
    </w:p>
    <w:p w14:paraId="77B644A6" w14:textId="77777777" w:rsidR="00EA34C0" w:rsidRPr="00223787" w:rsidRDefault="00EA34C0" w:rsidP="00D71AF6">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Non-classroom costs (NCC) </w:t>
      </w:r>
      <w:r w:rsidRPr="00223787">
        <w:rPr>
          <w:rFonts w:ascii="VIC-Regular" w:eastAsia="Times New Roman" w:hAnsi="VIC-Regular" w:cs="Times New Roman"/>
          <w:color w:val="011A3C"/>
          <w:sz w:val="24"/>
          <w:szCs w:val="24"/>
          <w:lang w:val="en" w:eastAsia="en-AU"/>
        </w:rPr>
        <w:t>— 50% of 26% = 13% of SRP</w:t>
      </w:r>
    </w:p>
    <w:p w14:paraId="26749ED9" w14:textId="77777777" w:rsidR="00EA34C0" w:rsidRPr="00223787" w:rsidRDefault="00EA34C0" w:rsidP="00D71AF6">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 xml:space="preserve">CASES expenditure items (CAS) </w:t>
      </w:r>
      <w:r w:rsidRPr="00223787">
        <w:rPr>
          <w:rFonts w:ascii="VIC-Regular" w:eastAsia="Times New Roman" w:hAnsi="VIC-Regular" w:cs="Times New Roman"/>
          <w:color w:val="011A3C"/>
          <w:sz w:val="24"/>
          <w:szCs w:val="24"/>
          <w:lang w:val="en" w:eastAsia="en-AU"/>
        </w:rPr>
        <w:t>— 30% of 17% = 5% of SRP</w:t>
      </w:r>
    </w:p>
    <w:p w14:paraId="62FEBF2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Therefore, the SRP available for program (including VET) delivery = 57% + 13% + 5% = 75% of core SRP.</w:t>
      </w:r>
    </w:p>
    <w:p w14:paraId="61F715B9" w14:textId="71D6A32D"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following example applies the proportion calculated above to Indicative 202</w:t>
      </w:r>
      <w:r w:rsidR="006B4B01">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core SRP to identify the amount of SRP that might be available to support funding for each VET certificate as follows:</w:t>
      </w:r>
    </w:p>
    <w:p w14:paraId="5F095803" w14:textId="4FCFE87A" w:rsidR="00EA34C0" w:rsidRPr="00223787" w:rsidRDefault="00EA34C0" w:rsidP="00D71AF6">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Indicative gross SRP (years 11 and 12) — $</w:t>
      </w:r>
      <w:r w:rsidR="006B4B01" w:rsidRPr="006B4B01">
        <w:rPr>
          <w:rFonts w:ascii="VIC-Regular" w:eastAsia="Times New Roman" w:hAnsi="VIC-Regular" w:cs="Times New Roman"/>
          <w:color w:val="011A3C"/>
          <w:sz w:val="24"/>
          <w:szCs w:val="24"/>
          <w:lang w:val="en" w:eastAsia="en-AU"/>
        </w:rPr>
        <w:t>9,328</w:t>
      </w:r>
      <w:r w:rsidRPr="00223787">
        <w:rPr>
          <w:rFonts w:ascii="VIC-Regular" w:eastAsia="Times New Roman" w:hAnsi="VIC-Regular" w:cs="Times New Roman"/>
          <w:color w:val="011A3C"/>
          <w:sz w:val="24"/>
          <w:szCs w:val="24"/>
          <w:lang w:val="en" w:eastAsia="en-AU"/>
        </w:rPr>
        <w:t>X 91.5% = $</w:t>
      </w:r>
      <w:r w:rsidR="006B4B01">
        <w:rPr>
          <w:rFonts w:ascii="VIC-Regular" w:eastAsia="Times New Roman" w:hAnsi="VIC-Regular" w:cs="Times New Roman"/>
          <w:color w:val="011A3C"/>
          <w:sz w:val="24"/>
          <w:szCs w:val="24"/>
          <w:lang w:val="en" w:eastAsia="en-AU"/>
        </w:rPr>
        <w:t>8,535</w:t>
      </w:r>
      <w:r w:rsidRPr="00223787">
        <w:rPr>
          <w:rFonts w:ascii="VIC-Regular" w:eastAsia="Times New Roman" w:hAnsi="VIC-Regular" w:cs="Times New Roman"/>
          <w:color w:val="011A3C"/>
          <w:sz w:val="24"/>
          <w:szCs w:val="24"/>
          <w:lang w:val="en" w:eastAsia="en-AU"/>
        </w:rPr>
        <w:br/>
        <w:t>Note 1: Only 91.5% of the gross SRP is used as 8.5% will be billed back by the Department from schools for superannuation costs.</w:t>
      </w:r>
    </w:p>
    <w:p w14:paraId="1475D1D1" w14:textId="4D80811A" w:rsidR="00EA34C0" w:rsidRPr="006B4B01" w:rsidRDefault="00EA34C0" w:rsidP="006B4B01">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B4B01">
        <w:rPr>
          <w:rFonts w:ascii="VIC-Regular" w:eastAsia="Times New Roman" w:hAnsi="VIC-Regular" w:cs="Times New Roman"/>
          <w:color w:val="011A3C"/>
          <w:sz w:val="24"/>
          <w:szCs w:val="24"/>
          <w:lang w:val="en" w:eastAsia="en-AU"/>
        </w:rPr>
        <w:t>Indicative Net SRP — $</w:t>
      </w:r>
      <w:r w:rsidR="006B4B01" w:rsidRPr="006B4B01">
        <w:rPr>
          <w:rFonts w:ascii="VIC-Regular" w:eastAsia="Times New Roman" w:hAnsi="VIC-Regular" w:cs="Times New Roman"/>
          <w:color w:val="011A3C"/>
          <w:sz w:val="24"/>
          <w:szCs w:val="24"/>
          <w:lang w:val="en" w:eastAsia="en-AU"/>
        </w:rPr>
        <w:t>9,328</w:t>
      </w:r>
      <w:r w:rsidRPr="006B4B01">
        <w:rPr>
          <w:rFonts w:ascii="VIC-Regular" w:eastAsia="Times New Roman" w:hAnsi="VIC-Regular" w:cs="Times New Roman"/>
          <w:color w:val="011A3C"/>
          <w:sz w:val="24"/>
          <w:szCs w:val="24"/>
          <w:lang w:val="en" w:eastAsia="en-AU"/>
        </w:rPr>
        <w:t xml:space="preserve"> X 91.5% = $</w:t>
      </w:r>
      <w:r w:rsidR="006B4B01">
        <w:rPr>
          <w:rFonts w:ascii="VIC-Regular" w:eastAsia="Times New Roman" w:hAnsi="VIC-Regular" w:cs="Times New Roman"/>
          <w:color w:val="011A3C"/>
          <w:sz w:val="24"/>
          <w:szCs w:val="24"/>
          <w:lang w:val="en" w:eastAsia="en-AU"/>
        </w:rPr>
        <w:t>8,535</w:t>
      </w:r>
      <w:r w:rsidRPr="006B4B01">
        <w:rPr>
          <w:rFonts w:ascii="VIC-Regular" w:eastAsia="Times New Roman" w:hAnsi="VIC-Regular" w:cs="Times New Roman"/>
          <w:color w:val="011A3C"/>
          <w:sz w:val="24"/>
          <w:szCs w:val="24"/>
          <w:lang w:val="en" w:eastAsia="en-AU"/>
        </w:rPr>
        <w:t>Proportion of SRP for program delivery — $</w:t>
      </w:r>
      <w:r w:rsidR="006B4B01">
        <w:rPr>
          <w:rFonts w:ascii="VIC-Regular" w:eastAsia="Times New Roman" w:hAnsi="VIC-Regular" w:cs="Times New Roman"/>
          <w:color w:val="011A3C"/>
          <w:sz w:val="24"/>
          <w:szCs w:val="24"/>
          <w:lang w:val="en" w:eastAsia="en-AU"/>
        </w:rPr>
        <w:t>8,535</w:t>
      </w:r>
      <w:r w:rsidRPr="006B4B01">
        <w:rPr>
          <w:rFonts w:ascii="VIC-Regular" w:eastAsia="Times New Roman" w:hAnsi="VIC-Regular" w:cs="Times New Roman"/>
          <w:color w:val="011A3C"/>
          <w:sz w:val="24"/>
          <w:szCs w:val="24"/>
          <w:lang w:val="en" w:eastAsia="en-AU"/>
        </w:rPr>
        <w:t xml:space="preserve"> X 75% = $</w:t>
      </w:r>
      <w:r w:rsidR="006B4B01">
        <w:rPr>
          <w:rFonts w:ascii="VIC-Regular" w:eastAsia="Times New Roman" w:hAnsi="VIC-Regular" w:cs="Times New Roman"/>
          <w:color w:val="011A3C"/>
          <w:sz w:val="24"/>
          <w:szCs w:val="24"/>
          <w:lang w:val="en" w:eastAsia="en-AU"/>
        </w:rPr>
        <w:t>6,401</w:t>
      </w:r>
      <w:r w:rsidRPr="006B4B01">
        <w:rPr>
          <w:rFonts w:ascii="VIC-Regular" w:eastAsia="Times New Roman" w:hAnsi="VIC-Regular" w:cs="Times New Roman"/>
          <w:color w:val="011A3C"/>
          <w:sz w:val="24"/>
          <w:szCs w:val="24"/>
          <w:lang w:val="en" w:eastAsia="en-AU"/>
        </w:rPr>
        <w:br/>
        <w:t>Note 2: Average number of subject enrolments assumes an annual student program of 900 hours with a Full Time Equiv</w:t>
      </w:r>
      <w:r w:rsidRPr="00A95154">
        <w:rPr>
          <w:rFonts w:ascii="VIC-Regular" w:eastAsia="Times New Roman" w:hAnsi="VIC-Regular" w:cs="Times New Roman"/>
          <w:color w:val="011A3C"/>
          <w:sz w:val="24"/>
          <w:szCs w:val="24"/>
          <w:lang w:val="en" w:eastAsia="en-AU"/>
        </w:rPr>
        <w:t>alent (FTE) VET certificate enrolment of 180 hours. That is, 900/180 = 5</w:t>
      </w:r>
    </w:p>
    <w:p w14:paraId="06FF012B" w14:textId="66333C79" w:rsidR="00EA34C0" w:rsidRPr="00223787" w:rsidRDefault="00EA34C0" w:rsidP="00D71AF6">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Allocation per subject enrolment — $</w:t>
      </w:r>
      <w:r w:rsidR="006B4B01">
        <w:rPr>
          <w:rFonts w:ascii="VIC-Regular" w:eastAsia="Times New Roman" w:hAnsi="VIC-Regular" w:cs="Times New Roman"/>
          <w:color w:val="011A3C"/>
          <w:sz w:val="24"/>
          <w:szCs w:val="24"/>
          <w:lang w:val="en" w:eastAsia="en-AU"/>
        </w:rPr>
        <w:t>6,401</w:t>
      </w:r>
      <w:r w:rsidRPr="00223787">
        <w:rPr>
          <w:rFonts w:ascii="VIC-Regular" w:eastAsia="Times New Roman" w:hAnsi="VIC-Regular" w:cs="Times New Roman"/>
          <w:color w:val="011A3C"/>
          <w:sz w:val="24"/>
          <w:szCs w:val="24"/>
          <w:lang w:val="en" w:eastAsia="en-AU"/>
        </w:rPr>
        <w:t>/ 5 = $</w:t>
      </w:r>
      <w:r w:rsidR="006B4B01">
        <w:rPr>
          <w:rFonts w:ascii="VIC-Regular" w:eastAsia="Times New Roman" w:hAnsi="VIC-Regular" w:cs="Times New Roman"/>
          <w:color w:val="011A3C"/>
          <w:sz w:val="24"/>
          <w:szCs w:val="24"/>
          <w:lang w:val="en" w:eastAsia="en-AU"/>
        </w:rPr>
        <w:t>1,280</w:t>
      </w:r>
    </w:p>
    <w:p w14:paraId="7FDC719C" w14:textId="56A3D236" w:rsidR="00EA34C0" w:rsidRPr="00223787"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23787">
        <w:rPr>
          <w:rFonts w:ascii="VIC-Bold" w:eastAsia="Times New Roman" w:hAnsi="VIC-Bold" w:cs="Times New Roman"/>
          <w:color w:val="011A3C"/>
          <w:sz w:val="24"/>
          <w:szCs w:val="24"/>
          <w:lang w:val="en" w:eastAsia="en-AU"/>
        </w:rPr>
        <w:t>Core SRP per full-time equivalent VET certificate enrolment = $</w:t>
      </w:r>
      <w:r w:rsidR="006B4B01">
        <w:rPr>
          <w:rFonts w:ascii="VIC-Bold" w:eastAsia="Times New Roman" w:hAnsi="VIC-Bold" w:cs="Times New Roman"/>
          <w:color w:val="011A3C"/>
          <w:sz w:val="24"/>
          <w:szCs w:val="24"/>
          <w:lang w:val="en" w:eastAsia="en-AU"/>
        </w:rPr>
        <w:t>1,280</w:t>
      </w:r>
    </w:p>
    <w:p w14:paraId="46FF6735" w14:textId="65C43CCE"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If VET is one of 6 subjects undertaken by a student then the notional available SRP would fall to $</w:t>
      </w:r>
      <w:r w:rsidR="006B4B01">
        <w:rPr>
          <w:rFonts w:ascii="VIC-Regular" w:eastAsia="Times New Roman" w:hAnsi="VIC-Regular" w:cs="Times New Roman"/>
          <w:color w:val="011A3C"/>
          <w:sz w:val="24"/>
          <w:szCs w:val="24"/>
          <w:lang w:val="en" w:eastAsia="en-AU"/>
        </w:rPr>
        <w:t>1,067</w:t>
      </w:r>
      <w:r w:rsidRPr="00223787">
        <w:rPr>
          <w:rFonts w:ascii="VIC-Regular" w:eastAsia="Times New Roman" w:hAnsi="VIC-Regular" w:cs="Times New Roman"/>
          <w:color w:val="011A3C"/>
          <w:sz w:val="24"/>
          <w:szCs w:val="24"/>
          <w:lang w:val="en" w:eastAsia="en-AU"/>
        </w:rPr>
        <w:t xml:space="preserve"> per FTE certificate of enrolment.</w:t>
      </w:r>
    </w:p>
    <w:p w14:paraId="4F2727B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If a student is enrolled in more than one VET qualification (which is often the case with a VCAL program) then it is expected that the school should be able to release a proportionally higher amount of core SRP to purchase those certificates.</w:t>
      </w:r>
    </w:p>
    <w:p w14:paraId="2C2B2139"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Targeted VET funding</w:t>
      </w:r>
    </w:p>
    <w:p w14:paraId="0DA652B7" w14:textId="126242C5"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Targeted VET funding is based on an </w:t>
      </w:r>
      <w:r w:rsidR="00127A2D" w:rsidRPr="00223787">
        <w:rPr>
          <w:rFonts w:ascii="VIC-Regular" w:eastAsia="Times New Roman" w:hAnsi="VIC-Regular" w:cs="Times New Roman"/>
          <w:color w:val="011A3C"/>
          <w:sz w:val="24"/>
          <w:szCs w:val="24"/>
          <w:lang w:val="en" w:eastAsia="en-AU"/>
        </w:rPr>
        <w:t>eight-band</w:t>
      </w:r>
      <w:r w:rsidRPr="00223787">
        <w:rPr>
          <w:rFonts w:ascii="VIC-Regular" w:eastAsia="Times New Roman" w:hAnsi="VIC-Regular" w:cs="Times New Roman"/>
          <w:color w:val="011A3C"/>
          <w:sz w:val="24"/>
          <w:szCs w:val="24"/>
          <w:lang w:val="en" w:eastAsia="en-AU"/>
        </w:rPr>
        <w:t xml:space="preserve"> model and is allocated pro-rata for enrolments up to 180 hours per VET certificate per year. Targeted VET funding also includes a rural weighting for students enrolled in schools with a location index of 0.2 and above.</w:t>
      </w:r>
    </w:p>
    <w:p w14:paraId="40BFE323" w14:textId="25CB6B0D"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To attract targeted VET funding, schools must enter accurate details of all VET enrolments on the Victorian Assessment Software System (VASS) by the annual funding deadline</w:t>
      </w:r>
      <w:r w:rsidR="00334ADD">
        <w:rPr>
          <w:rFonts w:ascii="VIC-Regular" w:eastAsia="Times New Roman" w:hAnsi="VIC-Regular" w:cs="Times New Roman"/>
          <w:color w:val="011A3C"/>
          <w:sz w:val="24"/>
          <w:szCs w:val="24"/>
          <w:lang w:val="en" w:eastAsia="en-AU"/>
        </w:rPr>
        <w:t xml:space="preserve"> </w:t>
      </w:r>
      <w:r w:rsidR="00334ADD" w:rsidRPr="00334ADD">
        <w:rPr>
          <w:rFonts w:ascii="VIC-Regular" w:eastAsia="Times New Roman" w:hAnsi="VIC-Regular" w:cs="Times New Roman"/>
          <w:color w:val="011A3C"/>
          <w:sz w:val="24"/>
          <w:szCs w:val="24"/>
          <w:lang w:val="en" w:eastAsia="en-AU"/>
        </w:rPr>
        <w:t>which for 2021 is 3 May</w:t>
      </w:r>
      <w:r w:rsidRPr="00223787">
        <w:rPr>
          <w:rFonts w:ascii="VIC-Regular" w:eastAsia="Times New Roman" w:hAnsi="VIC-Regular" w:cs="Times New Roman"/>
          <w:color w:val="011A3C"/>
          <w:sz w:val="24"/>
          <w:szCs w:val="24"/>
          <w:lang w:val="en" w:eastAsia="en-AU"/>
        </w:rPr>
        <w:t>.</w:t>
      </w:r>
    </w:p>
    <w:p w14:paraId="1C79997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Students between 15 to 20 years of age at the annual funding deadline who are enrolled in eligible VET certificates will be eligible for targeted VET funding.</w:t>
      </w:r>
    </w:p>
    <w:p w14:paraId="00007B3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II and Certificate III level qualifications (excluding school-based apprenticeships and traineeships) undertaken as part of a senior secondary certificate (VCE or VCAL) are eligible for targeted VET funding.</w:t>
      </w:r>
    </w:p>
    <w:p w14:paraId="2D82B2E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IV qualifications may be funded, provided the school has first gained approval from the Victorian Curriculum and Assessment Authority (VCAA) to offer the higher level qualification to VCE or VCAL students.</w:t>
      </w:r>
    </w:p>
    <w:p w14:paraId="0A17542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Further information and an indicative list of VET qualifications eligible for targeted VET funding is available at: </w:t>
      </w:r>
      <w:hyperlink r:id="rId92" w:history="1">
        <w:r w:rsidRPr="00223787">
          <w:rPr>
            <w:rFonts w:ascii="VIC-Regular" w:eastAsia="Times New Roman" w:hAnsi="VIC-Regular" w:cs="Times New Roman"/>
            <w:color w:val="011A3C"/>
            <w:sz w:val="24"/>
            <w:szCs w:val="24"/>
            <w:lang w:val="en" w:eastAsia="en-AU"/>
          </w:rPr>
          <w:t>Vocational Education and Training programs for secondary school students</w:t>
        </w:r>
      </w:hyperlink>
      <w:r w:rsidRPr="00223787">
        <w:rPr>
          <w:rFonts w:ascii="VIC-Regular" w:eastAsia="Times New Roman" w:hAnsi="VIC-Regular" w:cs="Times New Roman"/>
          <w:color w:val="011A3C"/>
          <w:sz w:val="24"/>
          <w:szCs w:val="24"/>
          <w:lang w:val="en" w:eastAsia="en-AU"/>
        </w:rPr>
        <w:t>.</w:t>
      </w:r>
    </w:p>
    <w:p w14:paraId="3C03BE1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Targeted VET funding is NOT available for enrolments in:</w:t>
      </w:r>
    </w:p>
    <w:p w14:paraId="76A18B51"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 qualifications</w:t>
      </w:r>
    </w:p>
    <w:p w14:paraId="2E6A9D62"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Certificates in General Education for Adults and generalist programs such as Certificate II in EAL (Employment) and Certificate II in EAL (Access)</w:t>
      </w:r>
    </w:p>
    <w:p w14:paraId="4B24954A"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Diploma level qualifications. Schools wishing to provide Diplomas may fund this delivery from the core SRP allocation</w:t>
      </w:r>
    </w:p>
    <w:p w14:paraId="558005CF"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School-based apprenticeships and traineeships, or Head Start apprenticeships and traineeships</w:t>
      </w:r>
    </w:p>
    <w:p w14:paraId="2B6BAC7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student who is enrolled in a school, either full-time or part-time and also enrolled independently of their school in a VET program at a TAFE or Registered Training Organisation (RTO), is not eligible to have their VET studies subsidised through targeted VET funding.</w:t>
      </w:r>
    </w:p>
    <w:p w14:paraId="5CC34783"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Criteria for determining targeted VET funding</w:t>
      </w:r>
    </w:p>
    <w:p w14:paraId="4A9B4BF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Full Time Equivalent (FTE) enrolment in an eligible VET course is defined as a minimum of 180 hours of training per year. This will attract the full per certificate amount. Enrolments of less than 180 hours of training in a year will attract pro-rata funding.</w:t>
      </w:r>
    </w:p>
    <w:p w14:paraId="42BE721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 Schools should refer to Band 5a and the Rates table below for additional information regarding CUA30915 Certificate III in Music Industry, for which a FTE enrolment is a minimum of 360 hours.</w:t>
      </w:r>
    </w:p>
    <w:p w14:paraId="1F2AAB27"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Funding formula</w:t>
      </w:r>
      <w:r w:rsidRPr="00D71AF6">
        <w:rPr>
          <w:rFonts w:ascii="VIC-Bold" w:eastAsia="Times New Roman" w:hAnsi="VIC-Bold" w:cs="Times New Roman" w:hint="eastAsia"/>
          <w:b/>
          <w:bCs/>
          <w:color w:val="011A3C"/>
          <w:sz w:val="27"/>
          <w:szCs w:val="27"/>
          <w:lang w:val="en" w:eastAsia="en-AU"/>
        </w:rPr>
        <w:t> </w:t>
      </w:r>
    </w:p>
    <w:p w14:paraId="42F4BAC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Allocation to support VET is comprised of:</w:t>
      </w:r>
    </w:p>
    <w:p w14:paraId="41AD51C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 xml:space="preserve">Eligible FTE certificate enrolments X Funding Level </w:t>
      </w:r>
      <w:r w:rsidRPr="00223787">
        <w:rPr>
          <w:rFonts w:ascii="VIC-Regular" w:eastAsia="Times New Roman" w:hAnsi="VIC-Regular" w:cs="Times New Roman"/>
          <w:color w:val="011A3C"/>
          <w:sz w:val="24"/>
          <w:szCs w:val="24"/>
          <w:lang w:val="en" w:eastAsia="en-AU"/>
        </w:rPr>
        <w:t>(for students aged from 15 years to 20 years inclusive at annual VET enrolment deadline on VASS)</w:t>
      </w:r>
    </w:p>
    <w:p w14:paraId="312847E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Plus</w:t>
      </w:r>
    </w:p>
    <w:p w14:paraId="715BD46A" w14:textId="596CBE5C"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FTE X Location Index X Rural Rate</w:t>
      </w:r>
      <w:r w:rsidRPr="00223787">
        <w:rPr>
          <w:rFonts w:ascii="VIC-Regular" w:eastAsia="Times New Roman" w:hAnsi="VIC-Regular" w:cs="Times New Roman"/>
          <w:color w:val="011A3C"/>
          <w:sz w:val="24"/>
          <w:szCs w:val="24"/>
          <w:lang w:val="en" w:eastAsia="en-AU"/>
        </w:rPr>
        <w:t xml:space="preserve"> (Where Location Index ≥0.2)</w:t>
      </w:r>
    </w:p>
    <w:p w14:paraId="3BCFB014" w14:textId="77777777" w:rsidR="00F85311" w:rsidRPr="00223787" w:rsidRDefault="00F85311"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AF0E2BD"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Rates</w:t>
      </w:r>
    </w:p>
    <w:p w14:paraId="36374CCB" w14:textId="5A427089"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Indicative band rates applicable were used to determine indicative band rates for funding allocations in Terms 1 and 2 of 202</w:t>
      </w:r>
      <w:r w:rsidR="006B4B01">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Rates </w:t>
      </w:r>
      <w:r w:rsidR="006B4B01">
        <w:rPr>
          <w:rFonts w:ascii="VIC-Regular" w:eastAsia="Times New Roman" w:hAnsi="VIC-Regular" w:cs="Times New Roman"/>
          <w:color w:val="011A3C"/>
          <w:sz w:val="24"/>
          <w:szCs w:val="24"/>
          <w:lang w:val="en" w:eastAsia="en-AU"/>
        </w:rPr>
        <w:t>may be</w:t>
      </w:r>
      <w:r w:rsidRPr="00223787">
        <w:rPr>
          <w:rFonts w:ascii="VIC-Regular" w:eastAsia="Times New Roman" w:hAnsi="VIC-Regular" w:cs="Times New Roman"/>
          <w:color w:val="011A3C"/>
          <w:sz w:val="24"/>
          <w:szCs w:val="24"/>
          <w:lang w:val="en" w:eastAsia="en-AU"/>
        </w:rPr>
        <w:t> updated for Terms 3 and 4 as per confirmed enrolments on VASS.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6"/>
        <w:gridCol w:w="1843"/>
        <w:gridCol w:w="1845"/>
        <w:gridCol w:w="2782"/>
      </w:tblGrid>
      <w:tr w:rsidR="003E6B76" w:rsidRPr="00223787" w14:paraId="5CEF7D4F" w14:textId="77777777" w:rsidTr="00A1372D">
        <w:trPr>
          <w:tblHeader/>
        </w:trPr>
        <w:tc>
          <w:tcPr>
            <w:tcW w:w="1412" w:type="pct"/>
            <w:hideMark/>
          </w:tcPr>
          <w:p w14:paraId="0289E363"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VET Band Funding Level and Weighting Level (WL)</w:t>
            </w:r>
          </w:p>
        </w:tc>
        <w:tc>
          <w:tcPr>
            <w:tcW w:w="1022" w:type="pct"/>
            <w:hideMark/>
          </w:tcPr>
          <w:p w14:paraId="7EE5060F" w14:textId="41E410DD" w:rsidR="00EA34C0" w:rsidRPr="00371B75" w:rsidRDefault="00EA34C0" w:rsidP="00F80C3F">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Targeted Funding (</w:t>
            </w:r>
            <w:r w:rsidR="00F80C3F" w:rsidRPr="00371B75">
              <w:rPr>
                <w:rFonts w:ascii="VIC-Bold" w:eastAsia="Times New Roman" w:hAnsi="VIC-Bold" w:cs="Times New Roman"/>
                <w:color w:val="323E4F" w:themeColor="text2" w:themeShade="BF"/>
                <w:sz w:val="24"/>
                <w:szCs w:val="24"/>
                <w:lang w:eastAsia="en-AU"/>
              </w:rPr>
              <w:t xml:space="preserve"> Indicative</w:t>
            </w:r>
            <w:r w:rsidRPr="00371B75">
              <w:rPr>
                <w:rFonts w:ascii="VIC-Bold" w:eastAsia="Times New Roman" w:hAnsi="VIC-Bold" w:cs="Times New Roman"/>
                <w:color w:val="323E4F" w:themeColor="text2" w:themeShade="BF"/>
                <w:sz w:val="24"/>
                <w:szCs w:val="24"/>
                <w:lang w:eastAsia="en-AU"/>
              </w:rPr>
              <w:t>)</w:t>
            </w:r>
          </w:p>
        </w:tc>
        <w:tc>
          <w:tcPr>
            <w:tcW w:w="1023" w:type="pct"/>
            <w:hideMark/>
          </w:tcPr>
          <w:p w14:paraId="33265707" w14:textId="77777777" w:rsidR="00EA34C0" w:rsidRPr="00371B75" w:rsidRDefault="00EA34C0" w:rsidP="00F80C3F">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SRP (VET is 1 of 5 subjects)</w:t>
            </w:r>
          </w:p>
        </w:tc>
        <w:tc>
          <w:tcPr>
            <w:tcW w:w="1543" w:type="pct"/>
            <w:hideMark/>
          </w:tcPr>
          <w:p w14:paraId="60E56F66" w14:textId="77777777" w:rsidR="00EA34C0" w:rsidRPr="00371B75" w:rsidRDefault="00EA34C0" w:rsidP="00F80C3F">
            <w:pPr>
              <w:spacing w:after="0" w:line="240" w:lineRule="atLeast"/>
              <w:jc w:val="center"/>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Funds provided for VET Programs (without Rural Rate or TAFE Supplement)</w:t>
            </w:r>
          </w:p>
        </w:tc>
      </w:tr>
      <w:tr w:rsidR="003E6B76" w:rsidRPr="00223787" w14:paraId="07D225C0" w14:textId="77777777" w:rsidTr="00A1372D">
        <w:tc>
          <w:tcPr>
            <w:tcW w:w="1412" w:type="pct"/>
            <w:hideMark/>
          </w:tcPr>
          <w:p w14:paraId="6AA7370F"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1 (WL 3.347)</w:t>
            </w:r>
          </w:p>
        </w:tc>
        <w:tc>
          <w:tcPr>
            <w:tcW w:w="1022" w:type="pct"/>
            <w:hideMark/>
          </w:tcPr>
          <w:p w14:paraId="2BF821DA" w14:textId="6567B7A3"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1,178.66</w:t>
            </w:r>
          </w:p>
        </w:tc>
        <w:tc>
          <w:tcPr>
            <w:tcW w:w="1023" w:type="pct"/>
            <w:hideMark/>
          </w:tcPr>
          <w:p w14:paraId="69377525" w14:textId="56FCE1BF"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0F95FB30" w14:textId="3E6D4E0E"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$2,458.66</w:t>
            </w:r>
          </w:p>
        </w:tc>
      </w:tr>
      <w:tr w:rsidR="003E6B76" w:rsidRPr="00223787" w14:paraId="2396705F" w14:textId="77777777" w:rsidTr="00A1372D">
        <w:tc>
          <w:tcPr>
            <w:tcW w:w="1412" w:type="pct"/>
            <w:hideMark/>
          </w:tcPr>
          <w:p w14:paraId="23FEEAE7"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2 (WL 2.988)</w:t>
            </w:r>
          </w:p>
        </w:tc>
        <w:tc>
          <w:tcPr>
            <w:tcW w:w="1022" w:type="pct"/>
            <w:hideMark/>
          </w:tcPr>
          <w:p w14:paraId="05866395" w14:textId="0258379F"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1,052.23</w:t>
            </w:r>
          </w:p>
        </w:tc>
        <w:tc>
          <w:tcPr>
            <w:tcW w:w="1023" w:type="pct"/>
            <w:hideMark/>
          </w:tcPr>
          <w:p w14:paraId="0FA6FF6F" w14:textId="0D5A7BA6"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14A1F090" w14:textId="63463B37"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$2,332.23</w:t>
            </w:r>
          </w:p>
        </w:tc>
      </w:tr>
      <w:tr w:rsidR="003E6B76" w:rsidRPr="00223787" w14:paraId="05615348" w14:textId="77777777" w:rsidTr="00A1372D">
        <w:tc>
          <w:tcPr>
            <w:tcW w:w="1412" w:type="pct"/>
            <w:hideMark/>
          </w:tcPr>
          <w:p w14:paraId="5D61BEDB"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3 (WL 2.721)</w:t>
            </w:r>
          </w:p>
        </w:tc>
        <w:tc>
          <w:tcPr>
            <w:tcW w:w="1022" w:type="pct"/>
            <w:hideMark/>
          </w:tcPr>
          <w:p w14:paraId="09E3C94E" w14:textId="185A8865"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958.21</w:t>
            </w:r>
          </w:p>
        </w:tc>
        <w:tc>
          <w:tcPr>
            <w:tcW w:w="1023" w:type="pct"/>
            <w:hideMark/>
          </w:tcPr>
          <w:p w14:paraId="02AE5E7A" w14:textId="642F553E"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766B1714" w14:textId="06E62177" w:rsidR="00EA34C0" w:rsidRPr="00371B75" w:rsidRDefault="004D40EA"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$2,238.21</w:t>
            </w:r>
          </w:p>
        </w:tc>
      </w:tr>
      <w:tr w:rsidR="003E6B76" w:rsidRPr="00223787" w14:paraId="1C787DA9" w14:textId="77777777" w:rsidTr="00A1372D">
        <w:tc>
          <w:tcPr>
            <w:tcW w:w="1412" w:type="pct"/>
            <w:hideMark/>
          </w:tcPr>
          <w:p w14:paraId="01C4A2B0"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4 (WL 2.569)</w:t>
            </w:r>
          </w:p>
        </w:tc>
        <w:tc>
          <w:tcPr>
            <w:tcW w:w="1022" w:type="pct"/>
            <w:hideMark/>
          </w:tcPr>
          <w:p w14:paraId="6FA1EFE2" w14:textId="459E81F6"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904.68</w:t>
            </w:r>
          </w:p>
        </w:tc>
        <w:tc>
          <w:tcPr>
            <w:tcW w:w="1023" w:type="pct"/>
            <w:hideMark/>
          </w:tcPr>
          <w:p w14:paraId="327CA8EA" w14:textId="6CEC88E4"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7368F47E" w14:textId="494C7A74" w:rsidR="00EA34C0" w:rsidRPr="00371B75" w:rsidRDefault="004D40EA"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$2,184.68</w:t>
            </w:r>
          </w:p>
        </w:tc>
      </w:tr>
      <w:tr w:rsidR="003E6B76" w:rsidRPr="00223787" w14:paraId="60E892D5" w14:textId="77777777" w:rsidTr="00A1372D">
        <w:tc>
          <w:tcPr>
            <w:tcW w:w="1412" w:type="pct"/>
            <w:hideMark/>
          </w:tcPr>
          <w:p w14:paraId="557987D9"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5 (WL 2.318)</w:t>
            </w:r>
          </w:p>
        </w:tc>
        <w:tc>
          <w:tcPr>
            <w:tcW w:w="1022" w:type="pct"/>
            <w:hideMark/>
          </w:tcPr>
          <w:p w14:paraId="325D664D" w14:textId="16029613"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816.29</w:t>
            </w:r>
          </w:p>
        </w:tc>
        <w:tc>
          <w:tcPr>
            <w:tcW w:w="1023" w:type="pct"/>
            <w:hideMark/>
          </w:tcPr>
          <w:p w14:paraId="442A62FA" w14:textId="7C4419E3"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2923E3D8" w14:textId="5BA20223" w:rsidR="00EA34C0" w:rsidRPr="00371B75" w:rsidRDefault="004D40EA"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$2,096.29</w:t>
            </w:r>
          </w:p>
        </w:tc>
      </w:tr>
      <w:tr w:rsidR="003E6B76" w:rsidRPr="00223787" w14:paraId="346AF4B2" w14:textId="77777777" w:rsidTr="00A1372D">
        <w:tc>
          <w:tcPr>
            <w:tcW w:w="1412" w:type="pct"/>
            <w:hideMark/>
          </w:tcPr>
          <w:p w14:paraId="5555EC84"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5a ** (WL 4.637)</w:t>
            </w:r>
          </w:p>
        </w:tc>
        <w:tc>
          <w:tcPr>
            <w:tcW w:w="1022" w:type="pct"/>
            <w:hideMark/>
          </w:tcPr>
          <w:p w14:paraId="5C5F5673" w14:textId="7138EF79"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1,632.93</w:t>
            </w:r>
          </w:p>
        </w:tc>
        <w:tc>
          <w:tcPr>
            <w:tcW w:w="1023" w:type="pct"/>
            <w:hideMark/>
          </w:tcPr>
          <w:p w14:paraId="50845317" w14:textId="3047F157"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7F7486F9" w14:textId="53025E29" w:rsidR="00EA34C0" w:rsidRPr="00371B75" w:rsidRDefault="004D40EA"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$2,912.93</w:t>
            </w:r>
          </w:p>
        </w:tc>
      </w:tr>
      <w:tr w:rsidR="003E6B76" w:rsidRPr="00223787" w14:paraId="676F9F83" w14:textId="77777777" w:rsidTr="00A1372D">
        <w:tc>
          <w:tcPr>
            <w:tcW w:w="1412" w:type="pct"/>
            <w:hideMark/>
          </w:tcPr>
          <w:p w14:paraId="063A1C6C"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Band Level 6 (WL 1.374)</w:t>
            </w:r>
          </w:p>
        </w:tc>
        <w:tc>
          <w:tcPr>
            <w:tcW w:w="1022" w:type="pct"/>
            <w:hideMark/>
          </w:tcPr>
          <w:p w14:paraId="7E6100D8" w14:textId="1CE336A5"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483.86</w:t>
            </w:r>
          </w:p>
        </w:tc>
        <w:tc>
          <w:tcPr>
            <w:tcW w:w="1023" w:type="pct"/>
            <w:hideMark/>
          </w:tcPr>
          <w:p w14:paraId="6A6A65B6" w14:textId="53B4130F"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0ECCF214" w14:textId="3E4C0C5A" w:rsidR="00EA34C0" w:rsidRPr="00371B75" w:rsidRDefault="004D40EA"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$1,763.86</w:t>
            </w:r>
          </w:p>
        </w:tc>
      </w:tr>
      <w:tr w:rsidR="003E6B76" w:rsidRPr="00223787" w14:paraId="54B74471" w14:textId="77777777" w:rsidTr="00A1372D">
        <w:tc>
          <w:tcPr>
            <w:tcW w:w="1412" w:type="pct"/>
            <w:hideMark/>
          </w:tcPr>
          <w:p w14:paraId="404751E9"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7 (WL 1.123)</w:t>
            </w:r>
          </w:p>
        </w:tc>
        <w:tc>
          <w:tcPr>
            <w:tcW w:w="1022" w:type="pct"/>
            <w:hideMark/>
          </w:tcPr>
          <w:p w14:paraId="0B1E3203" w14:textId="0682B3BD"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395.47</w:t>
            </w:r>
          </w:p>
        </w:tc>
        <w:tc>
          <w:tcPr>
            <w:tcW w:w="1023" w:type="pct"/>
            <w:hideMark/>
          </w:tcPr>
          <w:p w14:paraId="207152D1" w14:textId="5F36015F"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3682D878" w14:textId="35DF7DB1" w:rsidR="00EA34C0" w:rsidRPr="00371B75" w:rsidRDefault="004D40EA"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$1,675.47</w:t>
            </w:r>
          </w:p>
        </w:tc>
      </w:tr>
      <w:tr w:rsidR="003E6B76" w:rsidRPr="00223787" w14:paraId="486ECBFE" w14:textId="77777777" w:rsidTr="00A1372D">
        <w:tc>
          <w:tcPr>
            <w:tcW w:w="1412" w:type="pct"/>
            <w:hideMark/>
          </w:tcPr>
          <w:p w14:paraId="15C97C85"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Band Level 8 (WL 1.000)</w:t>
            </w:r>
          </w:p>
        </w:tc>
        <w:tc>
          <w:tcPr>
            <w:tcW w:w="1022" w:type="pct"/>
            <w:hideMark/>
          </w:tcPr>
          <w:p w14:paraId="6DBAA925" w14:textId="59E5C385"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352.15</w:t>
            </w:r>
          </w:p>
        </w:tc>
        <w:tc>
          <w:tcPr>
            <w:tcW w:w="1023" w:type="pct"/>
            <w:hideMark/>
          </w:tcPr>
          <w:p w14:paraId="2CF7DE70" w14:textId="5E8AA573"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1,280.00</w:t>
            </w:r>
          </w:p>
        </w:tc>
        <w:tc>
          <w:tcPr>
            <w:tcW w:w="1543" w:type="pct"/>
            <w:hideMark/>
          </w:tcPr>
          <w:p w14:paraId="3C1D3B0A" w14:textId="07FA0858" w:rsidR="00EA34C0" w:rsidRPr="00371B75" w:rsidRDefault="004D40EA"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$1,632.15</w:t>
            </w:r>
          </w:p>
        </w:tc>
      </w:tr>
      <w:tr w:rsidR="003E6B76" w:rsidRPr="00223787" w14:paraId="0D28B1A1" w14:textId="77777777" w:rsidTr="00A1372D">
        <w:tc>
          <w:tcPr>
            <w:tcW w:w="1412" w:type="pct"/>
            <w:hideMark/>
          </w:tcPr>
          <w:p w14:paraId="5D94B58D" w14:textId="20B603B5"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Additional Rural Rate (if eligible)</w:t>
            </w:r>
            <w:r w:rsidR="0089477A" w:rsidRPr="00371B75">
              <w:rPr>
                <w:rFonts w:ascii="VIC-Regular" w:eastAsia="Times New Roman" w:hAnsi="VIC-Regular" w:cs="Times New Roman"/>
                <w:color w:val="323E4F" w:themeColor="text2" w:themeShade="BF"/>
                <w:sz w:val="24"/>
                <w:szCs w:val="24"/>
                <w:lang w:eastAsia="en-AU"/>
              </w:rPr>
              <w:t>***</w:t>
            </w:r>
          </w:p>
        </w:tc>
        <w:tc>
          <w:tcPr>
            <w:tcW w:w="1022" w:type="pct"/>
            <w:hideMark/>
          </w:tcPr>
          <w:p w14:paraId="2D05B9BE" w14:textId="1E1ECA19" w:rsidR="00EA34C0" w:rsidRPr="00371B75" w:rsidRDefault="00F80C3F" w:rsidP="00F80C3F">
            <w:pPr>
              <w:spacing w:after="0" w:line="360" w:lineRule="atLeast"/>
              <w:jc w:val="center"/>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598.31</w:t>
            </w:r>
          </w:p>
        </w:tc>
        <w:tc>
          <w:tcPr>
            <w:tcW w:w="1023" w:type="pct"/>
            <w:hideMark/>
          </w:tcPr>
          <w:p w14:paraId="4FB3677E" w14:textId="77777777" w:rsidR="00EA34C0" w:rsidRPr="00371B75" w:rsidRDefault="00EA34C0" w:rsidP="00F80C3F">
            <w:pPr>
              <w:spacing w:after="0" w:line="360" w:lineRule="atLeast"/>
              <w:jc w:val="center"/>
              <w:rPr>
                <w:rFonts w:ascii="VIC-Regular" w:eastAsia="Times New Roman" w:hAnsi="VIC-Regular" w:cs="Times New Roman"/>
                <w:color w:val="323E4F" w:themeColor="text2" w:themeShade="BF"/>
                <w:sz w:val="24"/>
                <w:szCs w:val="24"/>
                <w:lang w:eastAsia="en-AU"/>
              </w:rPr>
            </w:pPr>
          </w:p>
        </w:tc>
        <w:tc>
          <w:tcPr>
            <w:tcW w:w="1543" w:type="pct"/>
            <w:hideMark/>
          </w:tcPr>
          <w:p w14:paraId="309632D4" w14:textId="77777777" w:rsidR="00EA34C0" w:rsidRPr="00371B75" w:rsidRDefault="00EA34C0" w:rsidP="00F80C3F">
            <w:pPr>
              <w:spacing w:after="0" w:line="360" w:lineRule="atLeast"/>
              <w:jc w:val="center"/>
              <w:rPr>
                <w:rFonts w:ascii="Times New Roman" w:eastAsia="Times New Roman" w:hAnsi="Times New Roman" w:cs="Times New Roman"/>
                <w:color w:val="323E4F" w:themeColor="text2" w:themeShade="BF"/>
                <w:sz w:val="20"/>
                <w:szCs w:val="20"/>
                <w:lang w:eastAsia="en-AU"/>
              </w:rPr>
            </w:pPr>
          </w:p>
        </w:tc>
      </w:tr>
    </w:tbl>
    <w:p w14:paraId="6D33335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As a consequence of a major change in the CUA Creative Arts and Culture Training Package, the CUS30109 Certificate III in Music and CUS30209 Certificate III in Technical Production have been merged into the one qualification, CUA30915 Certificate III in Music Industry. Previously, it was common practice for students to enrol in two separate qualifications (Music – Performance and Technical Production) and be funded up to 180 hours for both. These enrolments will now be in a single Certificate III in Music Industry, with many students undertaking a scored Unit 3 &amp; 4 in both streams in a single enrolment year. Band 5a has been introduced to enable funding for the two streams within the one qualification, up to a maximum of 360 hours.</w:t>
      </w:r>
    </w:p>
    <w:p w14:paraId="4526999A" w14:textId="5EB3F6EE" w:rsidR="0089477A" w:rsidRPr="00F3637A" w:rsidRDefault="0089477A" w:rsidP="0089477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w:t>
      </w:r>
      <w:r w:rsidRPr="0059549B">
        <w:rPr>
          <w:rFonts w:ascii="VIC-Regular" w:eastAsia="Times New Roman" w:hAnsi="VIC-Regular" w:cs="Times New Roman"/>
          <w:color w:val="011A3C"/>
          <w:sz w:val="24"/>
          <w:szCs w:val="24"/>
          <w:lang w:val="en" w:eastAsia="en-AU"/>
        </w:rPr>
        <w:t xml:space="preserve">2020 Location indexes have been used for </w:t>
      </w:r>
      <w:r>
        <w:rPr>
          <w:rFonts w:ascii="VIC-Regular" w:eastAsia="Times New Roman" w:hAnsi="VIC-Regular" w:cs="Times New Roman"/>
          <w:color w:val="011A3C"/>
          <w:sz w:val="24"/>
          <w:szCs w:val="24"/>
          <w:lang w:val="en" w:eastAsia="en-AU"/>
        </w:rPr>
        <w:t xml:space="preserve">the </w:t>
      </w:r>
      <w:r w:rsidRPr="0059549B">
        <w:rPr>
          <w:rFonts w:ascii="VIC-Regular" w:eastAsia="Times New Roman" w:hAnsi="VIC-Regular" w:cs="Times New Roman"/>
          <w:color w:val="011A3C"/>
          <w:sz w:val="24"/>
          <w:szCs w:val="24"/>
          <w:lang w:val="en" w:eastAsia="en-AU"/>
        </w:rPr>
        <w:t xml:space="preserve">2021 </w:t>
      </w:r>
      <w:r>
        <w:rPr>
          <w:rFonts w:ascii="VIC-Regular" w:eastAsia="Times New Roman" w:hAnsi="VIC-Regular" w:cs="Times New Roman"/>
          <w:color w:val="011A3C"/>
          <w:sz w:val="24"/>
          <w:szCs w:val="24"/>
          <w:lang w:val="en" w:eastAsia="en-AU"/>
        </w:rPr>
        <w:t>additional rural funding element.</w:t>
      </w:r>
    </w:p>
    <w:p w14:paraId="40574044" w14:textId="34BCCCAF" w:rsidR="00216245"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Targeted VET funding operates within a capped budget.</w:t>
      </w:r>
    </w:p>
    <w:p w14:paraId="6044B5B7" w14:textId="4AD72B89" w:rsidR="00EA34C0" w:rsidRPr="00D8139D"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 </w:t>
      </w:r>
      <w:r w:rsidRPr="00D8139D">
        <w:rPr>
          <w:rFonts w:ascii="VIC-Regular" w:eastAsia="Times New Roman" w:hAnsi="VIC-Regular" w:cs="Times New Roman"/>
          <w:color w:val="011A3C"/>
          <w:sz w:val="24"/>
          <w:szCs w:val="24"/>
          <w:lang w:val="en" w:eastAsia="en-AU"/>
        </w:rPr>
        <w:t xml:space="preserve">This means that band rates may be adjusted up or down </w:t>
      </w:r>
      <w:r w:rsidR="00216245" w:rsidRPr="00D8139D">
        <w:rPr>
          <w:rFonts w:ascii="VIC-Regular" w:eastAsia="Times New Roman" w:hAnsi="VIC-Regular" w:cs="Times New Roman"/>
          <w:color w:val="011A3C"/>
          <w:sz w:val="24"/>
          <w:szCs w:val="24"/>
          <w:lang w:val="en" w:eastAsia="en-AU"/>
        </w:rPr>
        <w:t>annually as they are</w:t>
      </w:r>
      <w:r w:rsidR="00D8139D" w:rsidRPr="00D8139D">
        <w:rPr>
          <w:rFonts w:ascii="VIC-Regular" w:eastAsia="Times New Roman" w:hAnsi="VIC-Regular" w:cs="Times New Roman"/>
          <w:color w:val="011A3C"/>
          <w:sz w:val="24"/>
          <w:szCs w:val="24"/>
          <w:lang w:val="en" w:eastAsia="en-AU"/>
        </w:rPr>
        <w:t xml:space="preserve"> dependent on a number of factors including </w:t>
      </w:r>
      <w:r w:rsidRPr="00D8139D">
        <w:rPr>
          <w:rFonts w:ascii="VIC-Regular" w:eastAsia="Times New Roman" w:hAnsi="VIC-Regular" w:cs="Times New Roman"/>
          <w:color w:val="011A3C"/>
          <w:sz w:val="24"/>
          <w:szCs w:val="24"/>
          <w:lang w:val="en" w:eastAsia="en-AU"/>
        </w:rPr>
        <w:t>changes in total eligible enrolments from all schools and the spread of these enrolments across band levels.</w:t>
      </w:r>
    </w:p>
    <w:p w14:paraId="46FC2118" w14:textId="4750A12D"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For example, even if the total number of enrolments did not change between 20</w:t>
      </w:r>
      <w:r w:rsidR="00A95154">
        <w:rPr>
          <w:rFonts w:ascii="VIC-Regular" w:eastAsia="Times New Roman" w:hAnsi="VIC-Regular" w:cs="Times New Roman"/>
          <w:color w:val="011A3C"/>
          <w:sz w:val="24"/>
          <w:szCs w:val="24"/>
          <w:lang w:val="en" w:eastAsia="en-AU"/>
        </w:rPr>
        <w:t>20</w:t>
      </w:r>
      <w:r w:rsidRPr="00223787">
        <w:rPr>
          <w:rFonts w:ascii="VIC-Regular" w:eastAsia="Times New Roman" w:hAnsi="VIC-Regular" w:cs="Times New Roman"/>
          <w:color w:val="011A3C"/>
          <w:sz w:val="24"/>
          <w:szCs w:val="24"/>
          <w:lang w:val="en" w:eastAsia="en-AU"/>
        </w:rPr>
        <w:t xml:space="preserve"> and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if there was an increase in the proportion of enrolments towards the higher funded bands, the confirmed band rates for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may be adjusted down, once enrolments are confirmed.</w:t>
      </w:r>
    </w:p>
    <w:p w14:paraId="518E79F9" w14:textId="6172D78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Conversely, if the total number of enrolments did not change between 20</w:t>
      </w:r>
      <w:r w:rsidR="00A95154">
        <w:rPr>
          <w:rFonts w:ascii="VIC-Regular" w:eastAsia="Times New Roman" w:hAnsi="VIC-Regular" w:cs="Times New Roman"/>
          <w:color w:val="011A3C"/>
          <w:sz w:val="24"/>
          <w:szCs w:val="24"/>
          <w:lang w:val="en" w:eastAsia="en-AU"/>
        </w:rPr>
        <w:t>20</w:t>
      </w:r>
      <w:r w:rsidRPr="00223787">
        <w:rPr>
          <w:rFonts w:ascii="VIC-Regular" w:eastAsia="Times New Roman" w:hAnsi="VIC-Regular" w:cs="Times New Roman"/>
          <w:color w:val="011A3C"/>
          <w:sz w:val="24"/>
          <w:szCs w:val="24"/>
          <w:lang w:val="en" w:eastAsia="en-AU"/>
        </w:rPr>
        <w:t xml:space="preserve"> and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if there was a significant increase in the proportion of enrolments towards the lower funded bands, the confirmed band rates for 202</w:t>
      </w:r>
      <w:r w:rsidR="00A95154">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may be adjusted up, once enrolments are confirmed. The impact of changes in enrolment patterns is spread proportionally across all band funding levels.</w:t>
      </w:r>
    </w:p>
    <w:p w14:paraId="61EA20A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This reinforces the importance for schools to </w:t>
      </w:r>
      <w:r w:rsidRPr="00223787">
        <w:rPr>
          <w:rFonts w:ascii="VIC-Regular" w:eastAsia="Times New Roman" w:hAnsi="VIC-Regular" w:cs="Times New Roman"/>
          <w:b/>
          <w:bCs/>
          <w:color w:val="011A3C"/>
          <w:sz w:val="24"/>
          <w:szCs w:val="24"/>
          <w:lang w:val="en" w:eastAsia="en-AU"/>
        </w:rPr>
        <w:t xml:space="preserve">CORRECTLY </w:t>
      </w:r>
      <w:r w:rsidRPr="00223787">
        <w:rPr>
          <w:rFonts w:ascii="VIC-Regular" w:eastAsia="Times New Roman" w:hAnsi="VIC-Regular" w:cs="Times New Roman"/>
          <w:color w:val="011A3C"/>
          <w:sz w:val="24"/>
          <w:szCs w:val="24"/>
          <w:lang w:val="en" w:eastAsia="en-AU"/>
        </w:rPr>
        <w:t>enter enrolments on VASS by the due date. Entries must include: certificate title, units of competency, and hours.</w:t>
      </w:r>
    </w:p>
    <w:p w14:paraId="6DF335F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There is no capacity within a capped budget to provide funding to schools that have not entered VET enrolments on VASS at all or have entered them with incorrect information.</w:t>
      </w:r>
    </w:p>
    <w:p w14:paraId="2669AD94"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TAFE supplement</w:t>
      </w:r>
    </w:p>
    <w:p w14:paraId="3F34DBC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From 2019 an </w:t>
      </w:r>
      <w:r w:rsidRPr="00223787">
        <w:rPr>
          <w:rFonts w:ascii="VIC-Regular" w:eastAsia="Times New Roman" w:hAnsi="VIC-Regular" w:cs="Times New Roman"/>
          <w:b/>
          <w:bCs/>
          <w:color w:val="011A3C"/>
          <w:sz w:val="24"/>
          <w:szCs w:val="24"/>
          <w:lang w:val="en" w:eastAsia="en-AU"/>
        </w:rPr>
        <w:t xml:space="preserve">additional supplement </w:t>
      </w:r>
      <w:r w:rsidRPr="00223787">
        <w:rPr>
          <w:rFonts w:ascii="VIC-Regular" w:eastAsia="Times New Roman" w:hAnsi="VIC-Regular" w:cs="Times New Roman"/>
          <w:color w:val="011A3C"/>
          <w:sz w:val="24"/>
          <w:szCs w:val="24"/>
          <w:lang w:val="en" w:eastAsia="en-AU"/>
        </w:rPr>
        <w:t>(over 4 years) is available to government schools that purchase VET courses on the Skills First list from the TAFE network.</w:t>
      </w:r>
    </w:p>
    <w:p w14:paraId="69E1744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amount of funding provided will be equal to the gap between current total funding (core SRP for VET + targeted VET funding) and the Skills First subsidy and maximum exemption rate. A 10% rural loading will be applied where relevant.</w:t>
      </w:r>
    </w:p>
    <w:p w14:paraId="0935DC9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TAFE Supplement funds will be paid against a separate budget line in the Term 3 quarterly cash grants through the Student Resource Package once actual eligible VET enrolments are known.</w:t>
      </w:r>
    </w:p>
    <w:p w14:paraId="725BA9A6" w14:textId="16FC212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confirmed amount of the TAFE supplement against eligible VET qualifications will be available when actual eligible 202</w:t>
      </w:r>
      <w:r w:rsidR="00C37A79">
        <w:rPr>
          <w:rFonts w:ascii="VIC-Regular" w:eastAsia="Times New Roman" w:hAnsi="VIC-Regular" w:cs="Times New Roman"/>
          <w:color w:val="011A3C"/>
          <w:sz w:val="24"/>
          <w:szCs w:val="24"/>
          <w:lang w:val="en" w:eastAsia="en-AU"/>
        </w:rPr>
        <w:t>1</w:t>
      </w:r>
      <w:r w:rsidRPr="00223787">
        <w:rPr>
          <w:rFonts w:ascii="VIC-Regular" w:eastAsia="Times New Roman" w:hAnsi="VIC-Regular" w:cs="Times New Roman"/>
          <w:color w:val="011A3C"/>
          <w:sz w:val="24"/>
          <w:szCs w:val="24"/>
          <w:lang w:val="en" w:eastAsia="en-AU"/>
        </w:rPr>
        <w:t xml:space="preserve"> VET enrolments with the TAFE network are known. Where the current total funding (core SRP for VET $12</w:t>
      </w:r>
      <w:r w:rsidR="00A95154">
        <w:rPr>
          <w:rFonts w:ascii="VIC-Regular" w:eastAsia="Times New Roman" w:hAnsi="VIC-Regular" w:cs="Times New Roman"/>
          <w:color w:val="011A3C"/>
          <w:sz w:val="24"/>
          <w:szCs w:val="24"/>
          <w:lang w:val="en" w:eastAsia="en-AU"/>
        </w:rPr>
        <w:t>80</w:t>
      </w:r>
      <w:r w:rsidRPr="00223787">
        <w:rPr>
          <w:rFonts w:ascii="VIC-Regular" w:eastAsia="Times New Roman" w:hAnsi="VIC-Regular" w:cs="Times New Roman"/>
          <w:color w:val="011A3C"/>
          <w:sz w:val="24"/>
          <w:szCs w:val="24"/>
          <w:lang w:val="en" w:eastAsia="en-AU"/>
        </w:rPr>
        <w:t xml:space="preserve"> + targeted VET funding) is higher than the Skills First subsidy rate, no supplement will be provided.</w:t>
      </w:r>
    </w:p>
    <w:p w14:paraId="129198B8" w14:textId="29A2D53F" w:rsidR="003E6B76"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To help inform purchasing decisions, a table of TAFE Supplement calculations based on </w:t>
      </w:r>
      <w:r w:rsidR="00C37A79" w:rsidRPr="00C37A79">
        <w:rPr>
          <w:rFonts w:ascii="VIC-Regular" w:eastAsia="Times New Roman" w:hAnsi="VIC-Regular" w:cs="Times New Roman"/>
          <w:color w:val="011A3C"/>
          <w:sz w:val="24"/>
          <w:szCs w:val="24"/>
          <w:lang w:val="en" w:eastAsia="en-AU"/>
        </w:rPr>
        <w:t xml:space="preserve">the most recent </w:t>
      </w:r>
      <w:r w:rsidRPr="00223787">
        <w:rPr>
          <w:rFonts w:ascii="VIC-Regular" w:eastAsia="Times New Roman" w:hAnsi="VIC-Regular" w:cs="Times New Roman"/>
          <w:color w:val="011A3C"/>
          <w:sz w:val="24"/>
          <w:szCs w:val="24"/>
          <w:lang w:val="en" w:eastAsia="en-AU"/>
        </w:rPr>
        <w:t xml:space="preserve">Skills First rates is available at: </w:t>
      </w:r>
      <w:hyperlink r:id="rId93" w:history="1">
        <w:r w:rsidRPr="00223787">
          <w:rPr>
            <w:rFonts w:ascii="VIC-Regular" w:eastAsia="Times New Roman" w:hAnsi="VIC-Regular" w:cs="Times New Roman"/>
            <w:color w:val="011A3C"/>
            <w:sz w:val="24"/>
            <w:szCs w:val="24"/>
            <w:lang w:val="en" w:eastAsia="en-AU"/>
          </w:rPr>
          <w:t>TAFE Supplement Revised Modelling</w:t>
        </w:r>
      </w:hyperlink>
      <w:r w:rsidRPr="00223787">
        <w:rPr>
          <w:rFonts w:ascii="VIC-Regular" w:eastAsia="Times New Roman" w:hAnsi="VIC-Regular" w:cs="Times New Roman"/>
          <w:color w:val="011A3C"/>
          <w:sz w:val="24"/>
          <w:szCs w:val="24"/>
          <w:lang w:val="en" w:eastAsia="en-AU"/>
        </w:rPr>
        <w:t>.</w:t>
      </w:r>
    </w:p>
    <w:p w14:paraId="66DB8D87" w14:textId="0FD1645D" w:rsidR="00F85311" w:rsidRDefault="00F85311"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F0401F9" w14:textId="77777777" w:rsidR="00F85311" w:rsidRPr="00223787" w:rsidRDefault="00F85311"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10AFE91"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School-based apprenticeships and traineeships</w:t>
      </w:r>
    </w:p>
    <w:p w14:paraId="3DD4BD5E"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A student enrolled in a VET qualification through a school-based apprenticeship or traineeship (SBAT) is funded under Skills First and is not eligible for targeted VET funding. However, for assessment purposes, students undertaking VET as part of an SBAT are still able to gain credit towards completion of their senior secondary certificate. Further information on SBATs is available at: </w:t>
      </w:r>
      <w:hyperlink r:id="rId94" w:history="1">
        <w:r w:rsidRPr="00223787">
          <w:rPr>
            <w:rFonts w:ascii="VIC-Regular" w:eastAsia="Times New Roman" w:hAnsi="VIC-Regular" w:cs="Times New Roman"/>
            <w:color w:val="011A3C"/>
            <w:sz w:val="24"/>
            <w:szCs w:val="24"/>
            <w:lang w:val="en" w:eastAsia="en-AU"/>
          </w:rPr>
          <w:t>Part-time and School-based Apprenticeships and Traineeships</w:t>
        </w:r>
      </w:hyperlink>
      <w:r w:rsidRPr="00223787">
        <w:rPr>
          <w:rFonts w:ascii="VIC-Regular" w:eastAsia="Times New Roman" w:hAnsi="VIC-Regular" w:cs="Times New Roman"/>
          <w:color w:val="011A3C"/>
          <w:sz w:val="24"/>
          <w:szCs w:val="24"/>
          <w:lang w:val="en" w:eastAsia="en-AU"/>
        </w:rPr>
        <w:t>.</w:t>
      </w:r>
    </w:p>
    <w:p w14:paraId="25719DEF"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Head Start</w:t>
      </w:r>
    </w:p>
    <w:p w14:paraId="12C4AB0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The Government has also committed $49.8m over four years for the Head Start initiative which is rolling out to over 100 secondary schools across Victoria from 2019. Head Start provides an innovative approach that encourages students to undertake an apprenticeship or traineeship with high quality Certificate III qualifications in priority industries as part of their senior secondary studies. Like all SBATs, </w:t>
      </w:r>
      <w:hyperlink r:id="rId95" w:history="1">
        <w:r w:rsidRPr="00223787">
          <w:rPr>
            <w:rFonts w:ascii="VIC-Regular" w:eastAsia="Times New Roman" w:hAnsi="VIC-Regular" w:cs="Times New Roman"/>
            <w:color w:val="011A3C"/>
            <w:sz w:val="24"/>
            <w:szCs w:val="24"/>
            <w:lang w:val="en" w:eastAsia="en-AU"/>
          </w:rPr>
          <w:t>Head Start apprenticeships and traineeships</w:t>
        </w:r>
      </w:hyperlink>
      <w:r w:rsidRPr="00223787">
        <w:rPr>
          <w:rFonts w:ascii="VIC-Regular" w:eastAsia="Times New Roman" w:hAnsi="VIC-Regular" w:cs="Times New Roman"/>
          <w:color w:val="011A3C"/>
          <w:sz w:val="24"/>
          <w:szCs w:val="24"/>
          <w:lang w:val="en" w:eastAsia="en-AU"/>
        </w:rPr>
        <w:t xml:space="preserve"> are funded through Skills First.</w:t>
      </w:r>
    </w:p>
    <w:p w14:paraId="1DE2C14E"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 VET</w:t>
      </w:r>
      <w:r w:rsidRPr="00D8139D">
        <w:rPr>
          <w:rFonts w:ascii="VIC-Bold" w:eastAsia="Times New Roman" w:hAnsi="VIC-Bold" w:cs="Times New Roman" w:hint="eastAsia"/>
          <w:b/>
          <w:bCs/>
          <w:color w:val="011A3C"/>
          <w:sz w:val="27"/>
          <w:szCs w:val="27"/>
          <w:lang w:val="en" w:eastAsia="en-AU"/>
        </w:rPr>
        <w:t> </w:t>
      </w:r>
      <w:r w:rsidRPr="00D8139D">
        <w:rPr>
          <w:rFonts w:ascii="VIC-Bold" w:eastAsia="Times New Roman" w:hAnsi="VIC-Bold" w:cs="Times New Roman"/>
          <w:b/>
          <w:bCs/>
          <w:color w:val="011A3C"/>
          <w:sz w:val="27"/>
          <w:szCs w:val="27"/>
          <w:lang w:val="en" w:eastAsia="en-AU"/>
        </w:rPr>
        <w:t>fees and charges</w:t>
      </w:r>
    </w:p>
    <w:p w14:paraId="1F1E8DED" w14:textId="1D330BF4"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VET programs are considered standard </w:t>
      </w:r>
      <w:r w:rsidR="00992D19" w:rsidRPr="00223787">
        <w:rPr>
          <w:rFonts w:ascii="VIC-Regular" w:eastAsia="Times New Roman" w:hAnsi="VIC-Regular" w:cs="Times New Roman"/>
          <w:color w:val="011A3C"/>
          <w:sz w:val="24"/>
          <w:szCs w:val="24"/>
          <w:lang w:val="en" w:eastAsia="en-AU"/>
        </w:rPr>
        <w:t>curriculum;</w:t>
      </w:r>
      <w:r w:rsidRPr="00223787">
        <w:rPr>
          <w:rFonts w:ascii="VIC-Regular" w:eastAsia="Times New Roman" w:hAnsi="VIC-Regular" w:cs="Times New Roman"/>
          <w:color w:val="011A3C"/>
          <w:sz w:val="24"/>
          <w:szCs w:val="24"/>
          <w:lang w:val="en" w:eastAsia="en-AU"/>
        </w:rPr>
        <w:t xml:space="preserve"> therefore government schools must provide VET tuition free of charge. For more information on fees and charges, refer to: </w:t>
      </w:r>
      <w:hyperlink r:id="rId96" w:history="1">
        <w:r w:rsidRPr="00223787">
          <w:rPr>
            <w:rFonts w:ascii="VIC-Regular" w:eastAsia="Times New Roman" w:hAnsi="VIC-Regular" w:cs="Times New Roman"/>
            <w:color w:val="011A3C"/>
            <w:sz w:val="24"/>
            <w:szCs w:val="24"/>
            <w:lang w:val="en" w:eastAsia="en-AU"/>
          </w:rPr>
          <w:t>Parent Payments</w:t>
        </w:r>
      </w:hyperlink>
      <w:r w:rsidRPr="00223787">
        <w:rPr>
          <w:rFonts w:ascii="VIC-Regular" w:eastAsia="Times New Roman" w:hAnsi="VIC-Regular" w:cs="Times New Roman"/>
          <w:color w:val="011A3C"/>
          <w:sz w:val="24"/>
          <w:szCs w:val="24"/>
          <w:lang w:val="en" w:eastAsia="en-AU"/>
        </w:rPr>
        <w:t>.</w:t>
      </w:r>
    </w:p>
    <w:p w14:paraId="7237869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must include in its parent payments policy details about any costs or charges arising from participation in a VET program, or otherwise communicate such costs or charges with parents/carers.</w:t>
      </w:r>
    </w:p>
    <w:p w14:paraId="5733A30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Use of targeted VET funding</w:t>
      </w:r>
    </w:p>
    <w:p w14:paraId="7303132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Targeted VET funding allocated to support VET provision can be used for a range of purposes.</w:t>
      </w:r>
    </w:p>
    <w:p w14:paraId="5802621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This may include: </w:t>
      </w:r>
    </w:p>
    <w:p w14:paraId="6E79B257"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contribution towards the purchase of delivery</w:t>
      </w:r>
    </w:p>
    <w:p w14:paraId="4DBBB754"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contribution towards teacher professional development and training</w:t>
      </w:r>
    </w:p>
    <w:p w14:paraId="3574F7F2"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costs associated with registering as an RTO</w:t>
      </w:r>
    </w:p>
    <w:p w14:paraId="6358BE00"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program planning</w:t>
      </w:r>
    </w:p>
    <w:p w14:paraId="5E7E03F4"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purchase of curriculum materials, and</w:t>
      </w:r>
    </w:p>
    <w:p w14:paraId="236A8E72"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costs associated with the transition to new training packages</w:t>
      </w:r>
    </w:p>
    <w:p w14:paraId="49E766FB"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Contractual arrangements between schools and VET providers</w:t>
      </w:r>
    </w:p>
    <w:p w14:paraId="4D669488"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entering into arrangements with RTOs must use the appropriate Department template and have a valid, signed Contract or Agreement.</w:t>
      </w:r>
    </w:p>
    <w:p w14:paraId="735D0E14"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available standard contracts and agreements are: Standard VET purchasing contract, Standard VET auspicing contract, School to school VET purchasing agreement, and School to school VET access agreement.</w:t>
      </w:r>
    </w:p>
    <w:p w14:paraId="53F20BF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templates have been designed for the specific use of government schools purchasing services from RTOs and are not recommended for use by other parties. Use of the templates by other parties is subject to the Department’s copyright licensing arrangements (detailed at the base of the website’s landing page). </w:t>
      </w:r>
    </w:p>
    <w:p w14:paraId="07C15EB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For more information on guidelines for the delivery of VET to secondary school students and the template Contracts and Agreements refer to: </w:t>
      </w:r>
      <w:hyperlink r:id="rId97" w:history="1">
        <w:r w:rsidRPr="00223787">
          <w:rPr>
            <w:rFonts w:ascii="VIC-Regular" w:eastAsia="Times New Roman" w:hAnsi="VIC-Regular" w:cs="Times New Roman"/>
            <w:color w:val="011A3C"/>
            <w:sz w:val="24"/>
            <w:szCs w:val="24"/>
            <w:lang w:val="en" w:eastAsia="en-AU"/>
          </w:rPr>
          <w:t>Purchasing Secondary Courses and Vocational Training from External Providers</w:t>
        </w:r>
      </w:hyperlink>
      <w:r w:rsidRPr="00223787">
        <w:rPr>
          <w:rFonts w:ascii="VIC-Regular" w:eastAsia="Times New Roman" w:hAnsi="VIC-Regular" w:cs="Times New Roman"/>
          <w:color w:val="011A3C"/>
          <w:sz w:val="24"/>
          <w:szCs w:val="24"/>
          <w:lang w:val="en" w:eastAsia="en-AU"/>
        </w:rPr>
        <w:t>. </w:t>
      </w:r>
    </w:p>
    <w:p w14:paraId="205A77FB"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Timing of payments to schools</w:t>
      </w:r>
    </w:p>
    <w:p w14:paraId="49B99D3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Government schools are provided with targeted funding for every eligible VET certificate enrolment (including a new line item payment for TAFE Supplement if eligible) provided that they have entered the certificates, units and hours for each VET enrolment on VASS no later than annual VET funding deadline. Payments are made in the quarterly cash grant through the Student Resource Package, as per the schedule details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8"/>
        <w:gridCol w:w="3423"/>
        <w:gridCol w:w="4815"/>
      </w:tblGrid>
      <w:tr w:rsidR="00EA34C0" w:rsidRPr="00223787" w14:paraId="0112C3FC" w14:textId="77777777" w:rsidTr="00D8139D">
        <w:trPr>
          <w:tblHeader/>
        </w:trPr>
        <w:tc>
          <w:tcPr>
            <w:tcW w:w="0" w:type="auto"/>
            <w:gridSpan w:val="3"/>
            <w:vAlign w:val="center"/>
            <w:hideMark/>
          </w:tcPr>
          <w:p w14:paraId="70D045CD" w14:textId="77777777" w:rsidR="00EA34C0" w:rsidRPr="00D8139D" w:rsidRDefault="00EA34C0" w:rsidP="00EA34C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71B75">
              <w:rPr>
                <w:rFonts w:ascii="VIC-Bold" w:eastAsia="Times New Roman" w:hAnsi="VIC-Bold" w:cs="Times New Roman"/>
                <w:b/>
                <w:bCs/>
                <w:color w:val="323E4F" w:themeColor="text2" w:themeShade="BF"/>
                <w:sz w:val="24"/>
                <w:szCs w:val="24"/>
                <w:lang w:eastAsia="en-AU"/>
              </w:rPr>
              <w:t>Timing of payments to schools</w:t>
            </w:r>
          </w:p>
        </w:tc>
      </w:tr>
      <w:tr w:rsidR="00EA34C0" w:rsidRPr="00223787" w14:paraId="6133BC4E" w14:textId="77777777" w:rsidTr="00D8139D">
        <w:trPr>
          <w:tblHeader/>
        </w:trPr>
        <w:tc>
          <w:tcPr>
            <w:tcW w:w="0" w:type="auto"/>
            <w:hideMark/>
          </w:tcPr>
          <w:p w14:paraId="47F54D6C"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Terms</w:t>
            </w:r>
          </w:p>
        </w:tc>
        <w:tc>
          <w:tcPr>
            <w:tcW w:w="0" w:type="auto"/>
            <w:hideMark/>
          </w:tcPr>
          <w:p w14:paraId="28A80EE4"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Allocation</w:t>
            </w:r>
          </w:p>
        </w:tc>
        <w:tc>
          <w:tcPr>
            <w:tcW w:w="0" w:type="auto"/>
            <w:hideMark/>
          </w:tcPr>
          <w:p w14:paraId="524FF9EC"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Enrolment Basis</w:t>
            </w:r>
          </w:p>
        </w:tc>
      </w:tr>
      <w:tr w:rsidR="00EA34C0" w:rsidRPr="00223787" w14:paraId="59C40333" w14:textId="77777777" w:rsidTr="00D8139D">
        <w:tc>
          <w:tcPr>
            <w:tcW w:w="0" w:type="auto"/>
            <w:hideMark/>
          </w:tcPr>
          <w:p w14:paraId="18CBF9EB"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w:t>
            </w:r>
          </w:p>
        </w:tc>
        <w:tc>
          <w:tcPr>
            <w:tcW w:w="0" w:type="auto"/>
            <w:hideMark/>
          </w:tcPr>
          <w:p w14:paraId="643F7054"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70C53D0D" w14:textId="3D8D1025"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r w:rsidR="006B4B01" w:rsidRPr="00371B75">
              <w:rPr>
                <w:rFonts w:ascii="VIC-Regular" w:eastAsia="Times New Roman" w:hAnsi="VIC-Regular" w:cs="Times New Roman"/>
                <w:color w:val="323E4F" w:themeColor="text2" w:themeShade="BF"/>
                <w:sz w:val="24"/>
                <w:szCs w:val="24"/>
                <w:lang w:eastAsia="en-AU"/>
              </w:rPr>
              <w:t>20</w:t>
            </w:r>
            <w:r w:rsidRPr="00371B75">
              <w:rPr>
                <w:rFonts w:ascii="VIC-Regular" w:eastAsia="Times New Roman" w:hAnsi="VIC-Regular" w:cs="Times New Roman"/>
                <w:color w:val="323E4F" w:themeColor="text2" w:themeShade="BF"/>
                <w:sz w:val="24"/>
                <w:szCs w:val="24"/>
                <w:lang w:eastAsia="en-AU"/>
              </w:rPr>
              <w:t xml:space="preserve"> enrolments applying 202</w:t>
            </w:r>
            <w:r w:rsidR="006B4B01"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Indicative Band Levels</w:t>
            </w:r>
          </w:p>
        </w:tc>
      </w:tr>
      <w:tr w:rsidR="00EA34C0" w:rsidRPr="00223787" w14:paraId="74C2269E" w14:textId="77777777" w:rsidTr="00D8139D">
        <w:tc>
          <w:tcPr>
            <w:tcW w:w="0" w:type="auto"/>
            <w:hideMark/>
          </w:tcPr>
          <w:p w14:paraId="4FBB8F85"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w:t>
            </w:r>
          </w:p>
        </w:tc>
        <w:tc>
          <w:tcPr>
            <w:tcW w:w="0" w:type="auto"/>
            <w:hideMark/>
          </w:tcPr>
          <w:p w14:paraId="697DD2E8"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1B10F636" w14:textId="144788F1"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w:t>
            </w:r>
            <w:r w:rsidR="006B4B01" w:rsidRPr="00371B75">
              <w:rPr>
                <w:rFonts w:ascii="VIC-Regular" w:eastAsia="Times New Roman" w:hAnsi="VIC-Regular" w:cs="Times New Roman"/>
                <w:color w:val="323E4F" w:themeColor="text2" w:themeShade="BF"/>
                <w:sz w:val="24"/>
                <w:szCs w:val="24"/>
                <w:lang w:eastAsia="en-AU"/>
              </w:rPr>
              <w:t>20</w:t>
            </w:r>
            <w:r w:rsidRPr="00371B75">
              <w:rPr>
                <w:rFonts w:ascii="VIC-Regular" w:eastAsia="Times New Roman" w:hAnsi="VIC-Regular" w:cs="Times New Roman"/>
                <w:color w:val="323E4F" w:themeColor="text2" w:themeShade="BF"/>
                <w:sz w:val="24"/>
                <w:szCs w:val="24"/>
                <w:lang w:eastAsia="en-AU"/>
              </w:rPr>
              <w:t xml:space="preserve"> enrolments applying 202</w:t>
            </w:r>
            <w:r w:rsidR="006B4B01"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Indicative Band Levels</w:t>
            </w:r>
          </w:p>
        </w:tc>
      </w:tr>
      <w:tr w:rsidR="00EA34C0" w:rsidRPr="00223787" w14:paraId="13EB2A02" w14:textId="77777777" w:rsidTr="00D8139D">
        <w:tc>
          <w:tcPr>
            <w:tcW w:w="0" w:type="auto"/>
            <w:hideMark/>
          </w:tcPr>
          <w:p w14:paraId="575073A8"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2/3</w:t>
            </w:r>
          </w:p>
        </w:tc>
        <w:tc>
          <w:tcPr>
            <w:tcW w:w="0" w:type="auto"/>
            <w:hideMark/>
          </w:tcPr>
          <w:p w14:paraId="4471E267"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Term 1 and 2 adjustment to school budgets</w:t>
            </w:r>
          </w:p>
        </w:tc>
        <w:tc>
          <w:tcPr>
            <w:tcW w:w="0" w:type="auto"/>
            <w:hideMark/>
          </w:tcPr>
          <w:p w14:paraId="6007523F" w14:textId="70333E43"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enrolments applying 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Band Levels</w:t>
            </w:r>
          </w:p>
        </w:tc>
      </w:tr>
      <w:tr w:rsidR="00EA34C0" w:rsidRPr="00223787" w14:paraId="3745FD58" w14:textId="77777777" w:rsidTr="00D8139D">
        <w:tc>
          <w:tcPr>
            <w:tcW w:w="0" w:type="auto"/>
            <w:hideMark/>
          </w:tcPr>
          <w:p w14:paraId="3FB75084"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w:t>
            </w:r>
          </w:p>
        </w:tc>
        <w:tc>
          <w:tcPr>
            <w:tcW w:w="0" w:type="auto"/>
            <w:hideMark/>
          </w:tcPr>
          <w:p w14:paraId="76989DDC"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57ECECD1" w14:textId="0A9C91AA"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enrolments applying 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Band Levels</w:t>
            </w:r>
          </w:p>
        </w:tc>
      </w:tr>
      <w:tr w:rsidR="00EA34C0" w:rsidRPr="00223787" w14:paraId="1018ABFD" w14:textId="77777777" w:rsidTr="00D8139D">
        <w:tc>
          <w:tcPr>
            <w:tcW w:w="0" w:type="auto"/>
            <w:hideMark/>
          </w:tcPr>
          <w:p w14:paraId="1314F6A2"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w:t>
            </w:r>
          </w:p>
        </w:tc>
        <w:tc>
          <w:tcPr>
            <w:tcW w:w="0" w:type="auto"/>
            <w:hideMark/>
          </w:tcPr>
          <w:p w14:paraId="26465A47" w14:textId="7777777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74021CD2" w14:textId="3D4C8517" w:rsidR="00EA34C0" w:rsidRPr="00371B75"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enrolments applying 202</w:t>
            </w:r>
            <w:r w:rsidR="00A95154" w:rsidRPr="00371B75">
              <w:rPr>
                <w:rFonts w:ascii="VIC-Regular" w:eastAsia="Times New Roman" w:hAnsi="VIC-Regular" w:cs="Times New Roman"/>
                <w:color w:val="323E4F" w:themeColor="text2" w:themeShade="BF"/>
                <w:sz w:val="24"/>
                <w:szCs w:val="24"/>
                <w:lang w:eastAsia="en-AU"/>
              </w:rPr>
              <w:t>1</w:t>
            </w:r>
            <w:r w:rsidRPr="00371B75">
              <w:rPr>
                <w:rFonts w:ascii="VIC-Regular" w:eastAsia="Times New Roman" w:hAnsi="VIC-Regular" w:cs="Times New Roman"/>
                <w:color w:val="323E4F" w:themeColor="text2" w:themeShade="BF"/>
                <w:sz w:val="24"/>
                <w:szCs w:val="24"/>
                <w:lang w:eastAsia="en-AU"/>
              </w:rPr>
              <w:t xml:space="preserve"> Confirmed Band Levels</w:t>
            </w:r>
          </w:p>
        </w:tc>
      </w:tr>
    </w:tbl>
    <w:p w14:paraId="1D8ABA97"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Note: TAFE Supplement funds will be paid against a separate budget line in the Term 3 quarterly cash grants through the Student Resource Package once actual eligible VET enrolments are known.</w:t>
      </w:r>
    </w:p>
    <w:p w14:paraId="6E24F6B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Professional Development for newly appointed VASS users</w:t>
      </w:r>
    </w:p>
    <w:p w14:paraId="1B1AA03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 the early part of each year, the Victorian Curriculum and Assessment Authority (VCAA) conducts professional development training specifically designed for VASS administrators who are new to their position or who have never used VASS, and new schools offering a VCE, VET or VCAL program for the first time.</w:t>
      </w:r>
    </w:p>
    <w:p w14:paraId="6781BCB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Any queries related to VASS Operations should be directed to the VCAA’s VASS Support team:</w:t>
      </w:r>
    </w:p>
    <w:p w14:paraId="77329F8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Phone: </w:t>
      </w:r>
      <w:hyperlink r:id="rId98" w:history="1">
        <w:r w:rsidRPr="00223787">
          <w:rPr>
            <w:rFonts w:ascii="VIC-Regular" w:eastAsia="Times New Roman" w:hAnsi="VIC-Regular" w:cs="Times New Roman"/>
            <w:color w:val="011A3C"/>
            <w:sz w:val="24"/>
            <w:szCs w:val="24"/>
            <w:lang w:val="en" w:eastAsia="en-AU"/>
          </w:rPr>
          <w:t>03 9032 1758</w:t>
        </w:r>
      </w:hyperlink>
      <w:r w:rsidRPr="00223787">
        <w:rPr>
          <w:rFonts w:ascii="VIC-Regular" w:eastAsia="Times New Roman" w:hAnsi="VIC-Regular" w:cs="Times New Roman"/>
          <w:color w:val="011A3C"/>
          <w:sz w:val="24"/>
          <w:szCs w:val="24"/>
          <w:lang w:val="en" w:eastAsia="en-AU"/>
        </w:rPr>
        <w:t xml:space="preserve"> or </w:t>
      </w:r>
      <w:hyperlink r:id="rId99" w:history="1">
        <w:r w:rsidRPr="00223787">
          <w:rPr>
            <w:rFonts w:ascii="VIC-Regular" w:eastAsia="Times New Roman" w:hAnsi="VIC-Regular" w:cs="Times New Roman"/>
            <w:color w:val="011A3C"/>
            <w:sz w:val="24"/>
            <w:szCs w:val="24"/>
            <w:lang w:val="en" w:eastAsia="en-AU"/>
          </w:rPr>
          <w:t>1800 623 681</w:t>
        </w:r>
      </w:hyperlink>
    </w:p>
    <w:p w14:paraId="04392A7D" w14:textId="4944CBA9" w:rsidR="00EA34C0" w:rsidRPr="004D1CF3"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Email: </w:t>
      </w:r>
      <w:hyperlink r:id="rId100" w:history="1">
        <w:r w:rsidRPr="00223787">
          <w:rPr>
            <w:rFonts w:ascii="VIC-Regular" w:eastAsia="Times New Roman" w:hAnsi="VIC-Regular" w:cs="Times New Roman"/>
            <w:color w:val="011A3C"/>
            <w:sz w:val="24"/>
            <w:szCs w:val="24"/>
            <w:lang w:val="en" w:eastAsia="en-AU"/>
          </w:rPr>
          <w:t>vass.support@edumail.vic.gov.au</w:t>
        </w:r>
      </w:hyperlink>
    </w:p>
    <w:bookmarkEnd w:id="74"/>
    <w:p w14:paraId="201FAFB0" w14:textId="77777777" w:rsidR="00EA34C0" w:rsidRDefault="00EA34C0" w:rsidP="00EA34C0">
      <w:r>
        <w:br w:type="page"/>
      </w:r>
    </w:p>
    <w:p w14:paraId="7AA3C834" w14:textId="77777777" w:rsidR="00EA34C0" w:rsidRPr="00D855B7" w:rsidRDefault="00EA34C0" w:rsidP="00842992">
      <w:pPr>
        <w:pStyle w:val="Heading2"/>
      </w:pPr>
      <w:bookmarkStart w:id="75" w:name="_Toc52796215"/>
      <w:r w:rsidRPr="00D855B7">
        <w:lastRenderedPageBreak/>
        <w:t>Doctors in Secondary Schools — School program lead funding (Reference 64)</w:t>
      </w:r>
      <w:bookmarkEnd w:id="75"/>
    </w:p>
    <w:p w14:paraId="784467DA"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The </w:t>
      </w:r>
      <w:hyperlink r:id="rId101" w:history="1">
        <w:r w:rsidRPr="00D855B7">
          <w:rPr>
            <w:rFonts w:ascii="VIC-Regular" w:eastAsia="Times New Roman" w:hAnsi="VIC-Regular" w:cs="Times New Roman"/>
            <w:color w:val="011A3C"/>
            <w:sz w:val="24"/>
            <w:szCs w:val="24"/>
            <w:lang w:val="en" w:eastAsia="en-AU"/>
          </w:rPr>
          <w:t>Doctors in Secondary Schools Program</w:t>
        </w:r>
      </w:hyperlink>
      <w:r w:rsidRPr="00D855B7">
        <w:rPr>
          <w:rFonts w:ascii="VIC-Regular" w:eastAsia="Times New Roman" w:hAnsi="VIC-Regular" w:cs="Times New Roman"/>
          <w:color w:val="011A3C"/>
          <w:sz w:val="24"/>
          <w:szCs w:val="24"/>
          <w:lang w:val="en" w:eastAsia="en-AU"/>
        </w:rPr>
        <w:t> (DiSS) initiative is underway, funding general practitioners (GPs) and practice nurses to attend 100 Victorian government secondary schools up to one day a week to provide medical advice and health care to those students most in need. </w:t>
      </w:r>
    </w:p>
    <w:p w14:paraId="735104D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 program lead funding</w:t>
      </w:r>
    </w:p>
    <w:p w14:paraId="06347711"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will be required to appoint a Leading Teacher to hold overall responsibility for program coordination duties for the school.</w:t>
      </w:r>
    </w:p>
    <w:p w14:paraId="25C8867E"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will be provided with the funding equivalent to 0.2 FTE at Leading Teacher Level 3.1 pay rate to support this. This funding will extend from each school's implementation start date until the end of the 2021 school year.</w:t>
      </w:r>
    </w:p>
    <w:p w14:paraId="18DC55E9"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responsibility for coordination of the program within the school can also rest with an Assistant Principal, if that is more appropriate than a Leading Teacher. However, if a school appoints an Assistant Principal to the School Program Lead role, the school will still receive the same amount of funding as if a Leading Teacher were appointed.</w:t>
      </w:r>
    </w:p>
    <w:p w14:paraId="4DED19EC" w14:textId="77777777" w:rsidR="00006C3B" w:rsidRPr="00F43093" w:rsidRDefault="00006C3B" w:rsidP="00006C3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43093">
        <w:rPr>
          <w:rFonts w:ascii="VIC-Bold" w:eastAsia="Times New Roman" w:hAnsi="VIC-Bold" w:cs="Times New Roman"/>
          <w:b/>
          <w:bCs/>
          <w:color w:val="011A3C"/>
          <w:sz w:val="27"/>
          <w:szCs w:val="27"/>
          <w:lang w:val="en" w:eastAsia="en-AU"/>
        </w:rPr>
        <w:t>Eligibility</w:t>
      </w:r>
    </w:p>
    <w:p w14:paraId="1C084B74" w14:textId="77777777" w:rsidR="00006C3B" w:rsidRPr="00371B75" w:rsidRDefault="00006C3B" w:rsidP="00006C3B">
      <w:pPr>
        <w:rPr>
          <w:rFonts w:ascii="VIC-Regular" w:eastAsia="Times New Roman" w:hAnsi="VIC-Regular" w:cs="Times New Roman"/>
          <w:color w:val="323E4F" w:themeColor="text2" w:themeShade="BF"/>
          <w:sz w:val="24"/>
          <w:szCs w:val="24"/>
          <w:lang w:val="en" w:eastAsia="en-AU"/>
        </w:rPr>
      </w:pPr>
      <w:r w:rsidRPr="00424B89">
        <w:rPr>
          <w:rFonts w:ascii="VIC-Regular" w:eastAsia="Times New Roman" w:hAnsi="VIC-Regular" w:cs="Times New Roman"/>
          <w:color w:val="011A3C"/>
          <w:sz w:val="24"/>
          <w:szCs w:val="24"/>
          <w:lang w:val="en" w:eastAsia="en-AU"/>
        </w:rPr>
        <w:t xml:space="preserve">Schools with </w:t>
      </w:r>
      <w:r w:rsidRPr="00371B75">
        <w:rPr>
          <w:rFonts w:ascii="VIC-Regular" w:eastAsia="Times New Roman" w:hAnsi="VIC-Regular" w:cs="Times New Roman"/>
          <w:color w:val="323E4F" w:themeColor="text2" w:themeShade="BF"/>
          <w:sz w:val="24"/>
          <w:szCs w:val="24"/>
          <w:lang w:val="en" w:eastAsia="en-AU"/>
        </w:rPr>
        <w:t>the following campus types are eligible for DiSS Funding at school level.</w:t>
      </w:r>
    </w:p>
    <w:p w14:paraId="05435705" w14:textId="77777777" w:rsidR="00006C3B" w:rsidRPr="00371B75" w:rsidRDefault="00006C3B" w:rsidP="00006C3B">
      <w:pPr>
        <w:pStyle w:val="ListParagraph"/>
        <w:numPr>
          <w:ilvl w:val="0"/>
          <w:numId w:val="110"/>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Secondary</w:t>
      </w:r>
    </w:p>
    <w:p w14:paraId="036DFEF0" w14:textId="2C9EBD2C" w:rsidR="00006C3B" w:rsidRPr="00371B75" w:rsidRDefault="00006C3B" w:rsidP="00006C3B">
      <w:pPr>
        <w:pStyle w:val="ListParagraph"/>
        <w:numPr>
          <w:ilvl w:val="0"/>
          <w:numId w:val="74"/>
        </w:numPr>
        <w:rPr>
          <w:rFonts w:ascii="VIC-Regular" w:eastAsia="Times New Roman" w:hAnsi="VIC-Regular" w:cs="Times New Roman"/>
          <w:color w:val="323E4F" w:themeColor="text2" w:themeShade="BF"/>
          <w:sz w:val="24"/>
          <w:szCs w:val="24"/>
          <w:lang w:val="en" w:eastAsia="en-AU"/>
        </w:rPr>
      </w:pPr>
      <w:r w:rsidRPr="00371B75">
        <w:rPr>
          <w:color w:val="323E4F" w:themeColor="text2" w:themeShade="BF"/>
          <w:lang w:val="en-US"/>
        </w:rPr>
        <w:t>Pri</w:t>
      </w:r>
      <w:r w:rsidR="001F2ECD" w:rsidRPr="00371B75">
        <w:rPr>
          <w:color w:val="323E4F" w:themeColor="text2" w:themeShade="BF"/>
          <w:lang w:val="en-US"/>
        </w:rPr>
        <w:t>mary</w:t>
      </w:r>
      <w:r w:rsidRPr="00371B75">
        <w:rPr>
          <w:color w:val="323E4F" w:themeColor="text2" w:themeShade="BF"/>
          <w:lang w:val="en-US"/>
        </w:rPr>
        <w:t>/</w:t>
      </w:r>
      <w:r w:rsidR="001F2ECD" w:rsidRPr="00371B75">
        <w:rPr>
          <w:color w:val="323E4F" w:themeColor="text2" w:themeShade="BF"/>
          <w:lang w:val="en-US"/>
        </w:rPr>
        <w:t>S</w:t>
      </w:r>
      <w:r w:rsidRPr="00371B75">
        <w:rPr>
          <w:color w:val="323E4F" w:themeColor="text2" w:themeShade="BF"/>
          <w:lang w:val="en-US"/>
        </w:rPr>
        <w:t>ec</w:t>
      </w:r>
      <w:r w:rsidR="001F2ECD" w:rsidRPr="00371B75">
        <w:rPr>
          <w:color w:val="323E4F" w:themeColor="text2" w:themeShade="BF"/>
          <w:lang w:val="en-US"/>
        </w:rPr>
        <w:t>ondary Combined</w:t>
      </w:r>
    </w:p>
    <w:p w14:paraId="2DD9DF6E" w14:textId="77777777" w:rsidR="00006C3B" w:rsidRDefault="00006C3B" w:rsidP="00006C3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at the </w:t>
      </w:r>
      <w:r>
        <w:rPr>
          <w:rFonts w:ascii="VIC-Regular" w:eastAsia="Times New Roman" w:hAnsi="VIC-Regular" w:cs="Times New Roman"/>
          <w:color w:val="011A3C"/>
          <w:sz w:val="24"/>
          <w:szCs w:val="24"/>
          <w:lang w:val="en" w:eastAsia="en-AU"/>
        </w:rPr>
        <w:t>Indicative budget cycle, through credit funding.</w:t>
      </w:r>
    </w:p>
    <w:p w14:paraId="1A5D592D" w14:textId="77777777" w:rsidR="00006C3B" w:rsidRPr="00F43093" w:rsidRDefault="00006C3B" w:rsidP="00006C3B">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Calculation</w:t>
      </w:r>
    </w:p>
    <w:p w14:paraId="0A32E180" w14:textId="77777777" w:rsidR="00006C3B"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14822">
        <w:rPr>
          <w:rFonts w:ascii="VIC-Regular" w:eastAsia="Times New Roman" w:hAnsi="VIC-Regular" w:cs="Times New Roman"/>
          <w:b/>
          <w:bCs/>
          <w:color w:val="011A3C"/>
          <w:sz w:val="24"/>
          <w:szCs w:val="24"/>
          <w:lang w:val="en" w:eastAsia="en-AU"/>
        </w:rPr>
        <w:t>Funding</w:t>
      </w:r>
      <w:r>
        <w:rPr>
          <w:rFonts w:ascii="VIC-Regular" w:eastAsia="Times New Roman" w:hAnsi="VIC-Regular" w:cs="Times New Roman"/>
          <w:color w:val="011A3C"/>
          <w:sz w:val="24"/>
          <w:szCs w:val="24"/>
          <w:lang w:val="en" w:eastAsia="en-AU"/>
        </w:rPr>
        <w:t xml:space="preserve"> = </w:t>
      </w:r>
      <w:r w:rsidRPr="00F83761">
        <w:rPr>
          <w:rFonts w:ascii="VIC-Regular" w:eastAsia="Times New Roman" w:hAnsi="VIC-Regular" w:cs="Times New Roman"/>
          <w:color w:val="011A3C"/>
          <w:sz w:val="24"/>
          <w:szCs w:val="24"/>
          <w:lang w:val="en" w:eastAsia="en-AU"/>
        </w:rPr>
        <w:t>Leading Teacher Level 3.1</w:t>
      </w:r>
      <w:r>
        <w:rPr>
          <w:rFonts w:ascii="VIC-Regular" w:eastAsia="Times New Roman" w:hAnsi="VIC-Regular" w:cs="Times New Roman"/>
          <w:color w:val="011A3C"/>
          <w:sz w:val="24"/>
          <w:szCs w:val="24"/>
          <w:lang w:val="en" w:eastAsia="en-AU"/>
        </w:rPr>
        <w:t xml:space="preserve"> x </w:t>
      </w:r>
      <w:r w:rsidRPr="00F83761">
        <w:rPr>
          <w:rFonts w:ascii="VIC-Regular" w:eastAsia="Times New Roman" w:hAnsi="VIC-Regular" w:cs="Times New Roman"/>
          <w:color w:val="011A3C"/>
          <w:sz w:val="24"/>
          <w:szCs w:val="24"/>
          <w:lang w:val="en" w:eastAsia="en-AU"/>
        </w:rPr>
        <w:t>0.2 FTE</w:t>
      </w:r>
    </w:p>
    <w:p w14:paraId="52CAECD9" w14:textId="0E887DE9" w:rsidR="00006C3B" w:rsidRPr="00006C3B"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*SRP Indexation has been applied to the rate annually since commencement.</w:t>
      </w:r>
    </w:p>
    <w:p w14:paraId="0E230D4E" w14:textId="634B1754" w:rsidR="00EA34C0" w:rsidRPr="00541C39" w:rsidRDefault="00EA34C0" w:rsidP="004D1CF3">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lastRenderedPageBreak/>
        <w:t>Responsibilities of the school program lead</w:t>
      </w:r>
    </w:p>
    <w:p w14:paraId="71C2329D" w14:textId="75FABBBC"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The Doctors in Secondary Schools Program Lead is responsible for providing leadership in the school around the implementation of the </w:t>
      </w:r>
      <w:r w:rsidR="00EF1322" w:rsidRPr="00D855B7">
        <w:rPr>
          <w:rFonts w:ascii="VIC-Regular" w:eastAsia="Times New Roman" w:hAnsi="VIC-Regular" w:cs="Times New Roman"/>
          <w:color w:val="011A3C"/>
          <w:sz w:val="24"/>
          <w:szCs w:val="24"/>
          <w:lang w:val="en" w:eastAsia="en-AU"/>
        </w:rPr>
        <w:t>program and</w:t>
      </w:r>
      <w:r w:rsidRPr="00D855B7">
        <w:rPr>
          <w:rFonts w:ascii="VIC-Regular" w:eastAsia="Times New Roman" w:hAnsi="VIC-Regular" w:cs="Times New Roman"/>
          <w:color w:val="011A3C"/>
          <w:sz w:val="24"/>
          <w:szCs w:val="24"/>
          <w:lang w:val="en" w:eastAsia="en-AU"/>
        </w:rPr>
        <w:t xml:space="preserve"> plays a crucial role in leading the partnership between the health and education sectors as part of the DiSS program. This includes:</w:t>
      </w:r>
    </w:p>
    <w:p w14:paraId="421CA39A"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the GP to deliver youth-friendly primary health care to the student population</w:t>
      </w:r>
    </w:p>
    <w:p w14:paraId="5FBD1A71"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collaborate with the practice nurse to ensure effective management of the service, including appointment systems</w:t>
      </w:r>
    </w:p>
    <w:p w14:paraId="74AC5689"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integrate the GP service into the broader health and wellbeing offering of the school</w:t>
      </w:r>
    </w:p>
    <w:p w14:paraId="1280BEC8" w14:textId="59942325"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provide leadership around parent/carer/broader school community involvement in the Doctors in Secondary Schools program</w:t>
      </w:r>
    </w:p>
    <w:p w14:paraId="7023BF9E"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supporting the programs strategic planning to ensure a high-quality service that is trusted, fully utilised and youth friendly</w:t>
      </w:r>
    </w:p>
    <w:p w14:paraId="267AFCBF"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promoting the service to the students and the broader school community and linking the clinical team with other members of school staff</w:t>
      </w:r>
    </w:p>
    <w:p w14:paraId="573EF80A"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ensure compliance to relevant privacy legislation and provide a child safe environment in accordance with the </w:t>
      </w:r>
      <w:hyperlink r:id="rId102" w:history="1">
        <w:r w:rsidRPr="00D855B7">
          <w:rPr>
            <w:rFonts w:ascii="VIC-Regular" w:eastAsia="Times New Roman" w:hAnsi="VIC-Regular" w:cs="Times New Roman"/>
            <w:color w:val="011A3C"/>
            <w:sz w:val="24"/>
            <w:szCs w:val="24"/>
            <w:lang w:val="en" w:eastAsia="en-AU"/>
          </w:rPr>
          <w:t>Child Safe Standards</w:t>
        </w:r>
      </w:hyperlink>
    </w:p>
    <w:p w14:paraId="25BE6A81"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build a positive relationship with the local GP practice and facilitate partnerships with community health providers for the benefit of the student population</w:t>
      </w:r>
    </w:p>
    <w:p w14:paraId="1508ACA9"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08D4820D" w14:textId="77777777" w:rsidR="00EA34C0" w:rsidRPr="00D855B7" w:rsidRDefault="007E3659" w:rsidP="00541C39">
      <w:pPr>
        <w:numPr>
          <w:ilvl w:val="0"/>
          <w:numId w:val="88"/>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03" w:history="1">
        <w:r w:rsidR="00EA34C0" w:rsidRPr="00D855B7">
          <w:rPr>
            <w:rFonts w:ascii="VIC-Regular" w:eastAsia="Times New Roman" w:hAnsi="VIC-Regular" w:cs="Times New Roman"/>
            <w:color w:val="011A3C"/>
            <w:sz w:val="24"/>
            <w:szCs w:val="24"/>
            <w:lang w:val="en" w:eastAsia="en-AU"/>
          </w:rPr>
          <w:t>Doctors in Secondary Schools​</w:t>
        </w:r>
      </w:hyperlink>
    </w:p>
    <w:p w14:paraId="6BA8642A" w14:textId="632FD055" w:rsidR="00EA34C0" w:rsidRPr="004D1CF3" w:rsidRDefault="00EA34C0" w:rsidP="00EA34C0">
      <w:pPr>
        <w:numPr>
          <w:ilvl w:val="0"/>
          <w:numId w:val="8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Contact </w:t>
      </w:r>
      <w:hyperlink r:id="rId104" w:history="1">
        <w:r w:rsidRPr="00D855B7">
          <w:rPr>
            <w:rFonts w:ascii="VIC-Regular" w:eastAsia="Times New Roman" w:hAnsi="VIC-Regular" w:cs="Times New Roman"/>
            <w:color w:val="011A3C"/>
            <w:sz w:val="24"/>
            <w:szCs w:val="24"/>
            <w:lang w:val="en" w:eastAsia="en-AU"/>
          </w:rPr>
          <w:t>doctors.in.schools@edumail.vic.gov.au</w:t>
        </w:r>
      </w:hyperlink>
    </w:p>
    <w:p w14:paraId="36178FBA" w14:textId="77777777" w:rsidR="00EA34C0" w:rsidRDefault="00EA34C0" w:rsidP="00EA34C0">
      <w:r>
        <w:br w:type="page"/>
      </w:r>
    </w:p>
    <w:p w14:paraId="00E8BC5D" w14:textId="3D8EB23C" w:rsidR="00EA34C0" w:rsidRPr="0021379B" w:rsidRDefault="00BE77A1" w:rsidP="00842992">
      <w:pPr>
        <w:pStyle w:val="Heading2"/>
      </w:pPr>
      <w:r w:rsidRPr="00541C39" w:rsidDel="00BE77A1">
        <w:lastRenderedPageBreak/>
        <w:t xml:space="preserve"> </w:t>
      </w:r>
      <w:bookmarkStart w:id="76" w:name="_Toc52796216"/>
      <w:bookmarkStart w:id="77" w:name="_Hlk50545369"/>
      <w:r w:rsidR="00EA34C0" w:rsidRPr="0021379B">
        <w:t>Career Education Funding (Ref 91)</w:t>
      </w:r>
      <w:bookmarkEnd w:id="76"/>
    </w:p>
    <w:p w14:paraId="7B8EDC1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Career Education Funding (CEF) supports schools to provide career education activities for all students in Years 7 to 12.</w:t>
      </w:r>
    </w:p>
    <w:p w14:paraId="329DD01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replaced managed individual pathways (MIPs) funding in 2019.</w:t>
      </w:r>
    </w:p>
    <w:p w14:paraId="6B46070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accountability and reporting requirements are available at career education funding.</w:t>
      </w:r>
    </w:p>
    <w:p w14:paraId="7887B815"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and Eligibility</w:t>
      </w:r>
    </w:p>
    <w:p w14:paraId="09ADEE4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Eligible School Types:</w:t>
      </w:r>
    </w:p>
    <w:bookmarkEnd w:id="77"/>
    <w:p w14:paraId="7099C106" w14:textId="77777777" w:rsidR="00EA34C0" w:rsidRPr="0021379B" w:rsidRDefault="00EA34C0" w:rsidP="00541C39">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558EF0B9" w14:textId="77777777" w:rsidR="00EA34C0" w:rsidRPr="0021379B" w:rsidRDefault="00EA34C0" w:rsidP="00541C39">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37DA91D8" w14:textId="77777777" w:rsidR="0003603B" w:rsidRPr="0003603B" w:rsidRDefault="00EA34C0" w:rsidP="00E177EC">
      <w:pPr>
        <w:numPr>
          <w:ilvl w:val="0"/>
          <w:numId w:val="98"/>
        </w:numPr>
        <w:spacing w:before="100" w:beforeAutospacing="1" w:after="100" w:afterAutospacing="1" w:line="360" w:lineRule="atLeast"/>
        <w:rPr>
          <w:rFonts w:ascii="VIC-Bold" w:eastAsia="Times New Roman" w:hAnsi="VIC-Bold"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Special</w:t>
      </w:r>
    </w:p>
    <w:p w14:paraId="0BF92B6B" w14:textId="46C6132D" w:rsidR="00E177EC" w:rsidRPr="00E177EC" w:rsidRDefault="00EA34C0" w:rsidP="00E177EC">
      <w:pPr>
        <w:numPr>
          <w:ilvl w:val="0"/>
          <w:numId w:val="98"/>
        </w:numPr>
        <w:spacing w:before="100" w:beforeAutospacing="1" w:after="100" w:afterAutospacing="1" w:line="360" w:lineRule="atLeast"/>
        <w:rPr>
          <w:rFonts w:ascii="VIC-Bold" w:eastAsia="Times New Roman" w:hAnsi="VIC-Bold" w:cs="Times New Roman"/>
          <w:color w:val="011A3C"/>
          <w:sz w:val="24"/>
          <w:szCs w:val="24"/>
          <w:lang w:val="en" w:eastAsia="en-AU"/>
        </w:rPr>
      </w:pPr>
      <w:r w:rsidRPr="00E177EC">
        <w:rPr>
          <w:rFonts w:ascii="VIC-Regular" w:eastAsia="Times New Roman" w:hAnsi="VIC-Regular" w:cs="Times New Roman"/>
          <w:color w:val="011A3C"/>
          <w:sz w:val="24"/>
          <w:szCs w:val="24"/>
          <w:lang w:val="en" w:eastAsia="en-AU"/>
        </w:rPr>
        <w:t>Language</w:t>
      </w:r>
    </w:p>
    <w:p w14:paraId="047F81C7" w14:textId="003396C3" w:rsidR="00E177EC" w:rsidRPr="00E177EC" w:rsidRDefault="00E177EC" w:rsidP="00E177EC">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E177EC">
        <w:rPr>
          <w:rFonts w:ascii="VIC-Regular" w:eastAsia="Times New Roman" w:hAnsi="VIC-Regular" w:cs="Times New Roman"/>
          <w:color w:val="011A3C"/>
          <w:sz w:val="24"/>
          <w:szCs w:val="24"/>
          <w:lang w:val="en" w:eastAsia="en-AU"/>
        </w:rPr>
        <w:t>Funding is calculated at the Indicative, Confirmed and Revised cycles, funding is allocated through cash funding.</w:t>
      </w:r>
    </w:p>
    <w:p w14:paraId="65D9A53B" w14:textId="5F8ECDF1"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7 to 9</w:t>
      </w:r>
    </w:p>
    <w:p w14:paraId="69A4A9C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funding is based on enrolments of students in Years 7 to 9 in Victorian government secondary school settings and students aged 12 to 14 years in Victorian government specialist schools and English Language settings.</w:t>
      </w:r>
    </w:p>
    <w:p w14:paraId="6D119C2B"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10 to 12</w:t>
      </w:r>
    </w:p>
    <w:p w14:paraId="57A100E6"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funding is based on enrolments of students aged 15 years and over in Victorian government specialist schools and English Language settings and Years 10 to 12 in all other Victorian government secondary schools, and the school's Student Family Occupation (SFO) density.</w:t>
      </w:r>
    </w:p>
    <w:p w14:paraId="6EB7C9AA" w14:textId="07CCA486" w:rsidR="003E6B76"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Additional funding is provided to schools with SFO densities greater than a threshold value to support young people at risk of disengaging or not making a successful transition to further education, training or secure employment.</w:t>
      </w:r>
    </w:p>
    <w:p w14:paraId="50D04DEB" w14:textId="77777777" w:rsidR="00F85311" w:rsidRPr="004D1CF3" w:rsidRDefault="00F85311"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F9DF49E" w14:textId="1BC0614B" w:rsidR="00EA34C0" w:rsidRPr="00541C39" w:rsidRDefault="00EA34C0" w:rsidP="004D1CF3">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lastRenderedPageBreak/>
        <w:t>Calculation</w:t>
      </w:r>
    </w:p>
    <w:p w14:paraId="59BE2458"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t>For Years 7 to 9</w:t>
      </w:r>
    </w:p>
    <w:p w14:paraId="6E8520B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Allocation = CEF Enrolments x Base per Student Rate</w:t>
      </w:r>
    </w:p>
    <w:p w14:paraId="04457AD5"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If a school's CEF Allocation is less than the Minimum Allocation (as identified in 'Rates' below), the school will receive the Minimum Allocation. The Minimum Allocation is set based on enrolment levels.</w:t>
      </w:r>
    </w:p>
    <w:p w14:paraId="7885E935"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7</w:t>
      </w:r>
    </w:p>
    <w:p w14:paraId="4450A06C" w14:textId="123702DA"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Rates — 202</w:t>
      </w:r>
      <w:r w:rsidR="0003603B">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br/>
        <w:t>Base Per Student Rate ​— $7 per CEF enrolment</w:t>
      </w:r>
      <w:r w:rsidRPr="0021379B">
        <w:rPr>
          <w:rFonts w:ascii="VIC-Regular" w:eastAsia="Times New Roman" w:hAnsi="VIC-Regular" w:cs="Times New Roman"/>
          <w:color w:val="011A3C"/>
          <w:sz w:val="24"/>
          <w:szCs w:val="24"/>
          <w:lang w:val="en" w:eastAsia="en-AU"/>
        </w:rPr>
        <w:br/>
        <w:t>Minimum Allocation $250</w:t>
      </w:r>
    </w:p>
    <w:p w14:paraId="642726F9"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8</w:t>
      </w:r>
    </w:p>
    <w:p w14:paraId="4D0F133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 $12 per CEF enrolment</w:t>
      </w:r>
      <w:r w:rsidRPr="0021379B">
        <w:rPr>
          <w:rFonts w:ascii="VIC-Regular" w:eastAsia="Times New Roman" w:hAnsi="VIC-Regular" w:cs="Times New Roman"/>
          <w:color w:val="011A3C"/>
          <w:sz w:val="24"/>
          <w:szCs w:val="24"/>
          <w:lang w:val="en" w:eastAsia="en-AU"/>
        </w:rPr>
        <w:br/>
        <w:t>Minimum Allocation $250</w:t>
      </w:r>
    </w:p>
    <w:p w14:paraId="56603EDA"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9</w:t>
      </w:r>
    </w:p>
    <w:p w14:paraId="45581B4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 $33 per CEF enrolment</w:t>
      </w:r>
      <w:r w:rsidRPr="0021379B">
        <w:rPr>
          <w:rFonts w:ascii="VIC-Regular" w:eastAsia="Times New Roman" w:hAnsi="VIC-Regular" w:cs="Times New Roman"/>
          <w:color w:val="011A3C"/>
          <w:sz w:val="24"/>
          <w:szCs w:val="24"/>
          <w:lang w:val="en" w:eastAsia="en-AU"/>
        </w:rPr>
        <w:br/>
        <w:t>Minimum Allocation $500</w:t>
      </w:r>
    </w:p>
    <w:p w14:paraId="601BEDE0"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10 to 12</w:t>
      </w:r>
    </w:p>
    <w:p w14:paraId="2A819E3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Allocation = Base Allocation + At Risk Allocation</w:t>
      </w:r>
    </w:p>
    <w:p w14:paraId="499F76C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If a school's CEF Allocation is less than the Minimum Allocations (as identified in 'Rates' below), the school will receive the Minimum Allocation. The Minimum Allocation is set based on enrolment levels.</w:t>
      </w:r>
    </w:p>
    <w:p w14:paraId="059C7F1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Allocation = CEF Enrolments x Base per Student Rate</w:t>
      </w:r>
    </w:p>
    <w:p w14:paraId="5FC57F0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At Risk Allocation (Only if the schools SFO index is greater than the SFO threshold - see 'Rates' below) = CEF Enrolments x ([School SFO Index] - [SFO Threshold]) / (1 - [SFO Threshold]) x At Risk Allocation per Student Rate.</w:t>
      </w:r>
    </w:p>
    <w:p w14:paraId="36A74DA4" w14:textId="77777777" w:rsidR="00EA34C0" w:rsidRPr="0021379B" w:rsidRDefault="00EA34C0" w:rsidP="004D1CF3">
      <w:pPr>
        <w:keepNext/>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lastRenderedPageBreak/>
        <w:t>Years 10 to 12 — per student rates</w:t>
      </w:r>
    </w:p>
    <w:p w14:paraId="4B5A7075"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$49.33 per CEF enrolment</w:t>
      </w:r>
      <w:r w:rsidRPr="0021379B">
        <w:rPr>
          <w:rFonts w:ascii="VIC-Regular" w:eastAsia="Times New Roman" w:hAnsi="VIC-Regular" w:cs="Times New Roman"/>
          <w:color w:val="011A3C"/>
          <w:sz w:val="24"/>
          <w:szCs w:val="24"/>
          <w:lang w:val="en" w:eastAsia="en-AU"/>
        </w:rPr>
        <w:br/>
        <w:t>At risk allocation per student rate: $559 per CEF enrolment</w:t>
      </w:r>
      <w:r w:rsidRPr="0021379B">
        <w:rPr>
          <w:rFonts w:ascii="VIC-Regular" w:eastAsia="Times New Roman" w:hAnsi="VIC-Regular" w:cs="Times New Roman"/>
          <w:color w:val="011A3C"/>
          <w:sz w:val="24"/>
          <w:szCs w:val="24"/>
          <w:lang w:val="en" w:eastAsia="en-AU"/>
        </w:rPr>
        <w:br/>
        <w:t>SFO Threshold: 0.4190</w:t>
      </w:r>
    </w:p>
    <w:p w14:paraId="67991736" w14:textId="77777777" w:rsidR="00EA34C0" w:rsidRPr="00541C39" w:rsidRDefault="00EA34C0" w:rsidP="00EA34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541C39">
        <w:rPr>
          <w:rFonts w:ascii="VIC-Regular" w:eastAsia="Times New Roman" w:hAnsi="VIC-Regular" w:cs="Times New Roman"/>
          <w:b/>
          <w:bCs/>
          <w:color w:val="011A3C"/>
          <w:sz w:val="24"/>
          <w:szCs w:val="24"/>
          <w:lang w:val="en" w:eastAsia="en-AU"/>
        </w:rPr>
        <w:t>Minimum allocations:</w:t>
      </w:r>
    </w:p>
    <w:p w14:paraId="771C633B" w14:textId="77777777" w:rsidR="00EA34C0" w:rsidRPr="0021379B" w:rsidRDefault="00EA34C0" w:rsidP="00541C39">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&lt;30 CEF enrolments: $208 per CEF enrolment</w:t>
      </w:r>
    </w:p>
    <w:p w14:paraId="1717CEDD" w14:textId="01EF4FBD" w:rsidR="00EA34C0" w:rsidRPr="0021379B" w:rsidRDefault="00EA34C0" w:rsidP="00541C39">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30 to 99 CEF enrolments: $6</w:t>
      </w:r>
      <w:r w:rsidR="002E15F1">
        <w:rPr>
          <w:rFonts w:ascii="VIC-Regular" w:eastAsia="Times New Roman" w:hAnsi="VIC-Regular" w:cs="Times New Roman"/>
          <w:color w:val="011A3C"/>
          <w:sz w:val="24"/>
          <w:szCs w:val="24"/>
          <w:lang w:val="en" w:eastAsia="en-AU"/>
        </w:rPr>
        <w:t>,</w:t>
      </w:r>
      <w:r w:rsidRPr="0021379B">
        <w:rPr>
          <w:rFonts w:ascii="VIC-Regular" w:eastAsia="Times New Roman" w:hAnsi="VIC-Regular" w:cs="Times New Roman"/>
          <w:color w:val="011A3C"/>
          <w:sz w:val="24"/>
          <w:szCs w:val="24"/>
          <w:lang w:val="en" w:eastAsia="en-AU"/>
        </w:rPr>
        <w:t>000 in total​</w:t>
      </w:r>
    </w:p>
    <w:p w14:paraId="308A1F45" w14:textId="0F677000" w:rsidR="00EA34C0" w:rsidRPr="004D1CF3" w:rsidRDefault="00EA34C0" w:rsidP="00EA34C0">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&gt;=100 CEF enrolment: $10,000 in total</w:t>
      </w:r>
    </w:p>
    <w:p w14:paraId="3DDE612C" w14:textId="77777777" w:rsidR="00EA34C0" w:rsidRDefault="00EA34C0" w:rsidP="00EA34C0">
      <w:r>
        <w:br w:type="page"/>
      </w:r>
    </w:p>
    <w:p w14:paraId="20E75844" w14:textId="77777777" w:rsidR="00EA34C0" w:rsidRPr="0021379B" w:rsidRDefault="00EA34C0" w:rsidP="00842992">
      <w:pPr>
        <w:pStyle w:val="Heading2"/>
      </w:pPr>
      <w:bookmarkStart w:id="78" w:name="_Toc52796217"/>
      <w:r w:rsidRPr="0021379B">
        <w:lastRenderedPageBreak/>
        <w:t>Head Start (Reference 116)</w:t>
      </w:r>
      <w:bookmarkEnd w:id="78"/>
    </w:p>
    <w:p w14:paraId="6631E0F9" w14:textId="404B3C4A"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Head Start is a new apprenticeship and traineeship pathway for secondary students. </w:t>
      </w:r>
      <w:hyperlink r:id="rId105" w:history="1">
        <w:r w:rsidRPr="0021379B">
          <w:rPr>
            <w:rFonts w:ascii="VIC-Regular" w:eastAsia="Times New Roman" w:hAnsi="VIC-Regular" w:cs="Times New Roman"/>
            <w:color w:val="011A3C"/>
            <w:sz w:val="24"/>
            <w:szCs w:val="24"/>
            <w:lang w:val="en" w:eastAsia="en-AU"/>
          </w:rPr>
          <w:t>Head Start</w:t>
        </w:r>
      </w:hyperlink>
      <w:r w:rsidRPr="0021379B">
        <w:rPr>
          <w:rFonts w:ascii="VIC-Regular" w:eastAsia="Times New Roman" w:hAnsi="VIC-Regular" w:cs="Times New Roman"/>
          <w:color w:val="011A3C"/>
          <w:sz w:val="24"/>
          <w:szCs w:val="24"/>
          <w:lang w:val="en" w:eastAsia="en-AU"/>
        </w:rPr>
        <w:t xml:space="preserve"> students spend more time doing important, paid, on-the-job training while completing their VCE or VCAL at school.</w:t>
      </w:r>
    </w:p>
    <w:p w14:paraId="26999F2E"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Eligibility</w:t>
      </w:r>
    </w:p>
    <w:p w14:paraId="6E7C8033"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are eligible for Head Start funding at school level. </w:t>
      </w:r>
    </w:p>
    <w:p w14:paraId="394F1239" w14:textId="77777777" w:rsidR="0073330A" w:rsidRPr="007962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Secondary</w:t>
      </w:r>
    </w:p>
    <w:p w14:paraId="297AEB8D" w14:textId="77777777" w:rsidR="0073330A" w:rsidRPr="007962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962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w:t>
      </w:r>
    </w:p>
    <w:p w14:paraId="2154C8CA" w14:textId="1BFE4B16" w:rsidR="0073330A" w:rsidRPr="0021379B" w:rsidRDefault="0073330A"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funding is allocated through credit funding.</w:t>
      </w:r>
    </w:p>
    <w:p w14:paraId="7AACF29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57E4AA4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SRP credit funding will provided to participating schools that host Head Start staff.</w:t>
      </w:r>
    </w:p>
    <w:p w14:paraId="7A648069"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will cover salary and will be allocated based on salary rates and time fractions of Head Start staff employed in each cluster.</w:t>
      </w:r>
    </w:p>
    <w:p w14:paraId="7C9F458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Operational costs</w:t>
      </w:r>
    </w:p>
    <w:p w14:paraId="053C844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Operational costs will be funded through the </w:t>
      </w:r>
      <w:hyperlink r:id="rId106" w:history="1">
        <w:r w:rsidRPr="0021379B">
          <w:rPr>
            <w:rFonts w:ascii="VIC-Regular" w:eastAsia="Times New Roman" w:hAnsi="VIC-Regular" w:cs="Times New Roman"/>
            <w:color w:val="011A3C"/>
            <w:sz w:val="24"/>
            <w:szCs w:val="24"/>
            <w:lang w:val="en" w:eastAsia="en-AU"/>
          </w:rPr>
          <w:t>Schools targeted funding governance portal (edumail account required)</w:t>
        </w:r>
      </w:hyperlink>
      <w:r w:rsidRPr="0021379B">
        <w:rPr>
          <w:rFonts w:ascii="VIC-Regular" w:eastAsia="Times New Roman" w:hAnsi="VIC-Regular" w:cs="Times New Roman"/>
          <w:color w:val="011A3C"/>
          <w:sz w:val="24"/>
          <w:szCs w:val="24"/>
          <w:lang w:val="en" w:eastAsia="en-AU"/>
        </w:rPr>
        <w:t>.</w:t>
      </w:r>
    </w:p>
    <w:p w14:paraId="7DAA441E"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Arrangements have been made so mileage can be processed in eduPay and charged directly to the program area. Schools should refer to the Head Start Finance fact sheet for mileage processing instructions.</w:t>
      </w:r>
    </w:p>
    <w:p w14:paraId="08042DE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Find out more</w:t>
      </w:r>
    </w:p>
    <w:p w14:paraId="244C1393" w14:textId="059349DC" w:rsidR="00EA34C0" w:rsidRPr="004D1CF3"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Schools taking part in </w:t>
      </w:r>
      <w:hyperlink r:id="rId107" w:history="1">
        <w:r w:rsidRPr="0021379B">
          <w:rPr>
            <w:rFonts w:ascii="VIC-Regular" w:eastAsia="Times New Roman" w:hAnsi="VIC-Regular" w:cs="Times New Roman"/>
            <w:color w:val="011A3C"/>
            <w:sz w:val="24"/>
            <w:szCs w:val="24"/>
            <w:lang w:val="en" w:eastAsia="en-AU"/>
          </w:rPr>
          <w:t>Head Start</w:t>
        </w:r>
      </w:hyperlink>
      <w:r w:rsidRPr="0021379B">
        <w:rPr>
          <w:rFonts w:ascii="VIC-Regular" w:eastAsia="Times New Roman" w:hAnsi="VIC-Regular" w:cs="Times New Roman"/>
          <w:color w:val="011A3C"/>
          <w:sz w:val="24"/>
          <w:szCs w:val="24"/>
          <w:lang w:val="en" w:eastAsia="en-AU"/>
        </w:rPr>
        <w:t xml:space="preserve"> have been identified as part of the implementation of the program.</w:t>
      </w:r>
    </w:p>
    <w:p w14:paraId="1597C0E7" w14:textId="77777777" w:rsidR="00EA34C0" w:rsidRDefault="00EA34C0" w:rsidP="00EA34C0">
      <w:r>
        <w:br w:type="page"/>
      </w:r>
    </w:p>
    <w:p w14:paraId="515457CD" w14:textId="3A3FFEF7" w:rsidR="00EA34C0" w:rsidRPr="0021379B" w:rsidRDefault="00EA34C0" w:rsidP="00842992">
      <w:pPr>
        <w:pStyle w:val="Heading2"/>
      </w:pPr>
      <w:bookmarkStart w:id="79" w:name="_Toc52796218"/>
      <w:r w:rsidRPr="0021379B">
        <w:lastRenderedPageBreak/>
        <w:t>Middle Years Literacy and Numeracy Support Initiative (Ref 118)</w:t>
      </w:r>
      <w:bookmarkEnd w:id="79"/>
    </w:p>
    <w:p w14:paraId="2BB93F5F" w14:textId="17D0418E"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The </w:t>
      </w:r>
      <w:hyperlink r:id="rId108" w:anchor="link98" w:history="1">
        <w:r w:rsidRPr="0021379B">
          <w:rPr>
            <w:rFonts w:ascii="VIC-Regular" w:eastAsia="Times New Roman" w:hAnsi="VIC-Regular" w:cs="Times New Roman"/>
            <w:color w:val="011A3C"/>
            <w:sz w:val="24"/>
            <w:szCs w:val="24"/>
            <w:lang w:val="en" w:eastAsia="en-AU"/>
          </w:rPr>
          <w:t>Middle Years Literacy and Numeracy Support (MYLNS)</w:t>
        </w:r>
      </w:hyperlink>
      <w:r w:rsidRPr="0021379B">
        <w:rPr>
          <w:rFonts w:ascii="VIC-Regular" w:eastAsia="Times New Roman" w:hAnsi="VIC-Regular" w:cs="Times New Roman"/>
          <w:color w:val="011A3C"/>
          <w:sz w:val="24"/>
          <w:szCs w:val="24"/>
          <w:lang w:val="en" w:eastAsia="en-AU"/>
        </w:rPr>
        <w:t xml:space="preserve"> initiative provides funding to government secondary schools to improve outcomes for students who are at risk of finishing school without the literacy or numeracy they need for future work, education and training.</w:t>
      </w:r>
    </w:p>
    <w:p w14:paraId="7CC0E890" w14:textId="2B6F97B0"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Through the MYLNS initiative, schools are provided funding to release existing teachers as Literacy Improvement Teachers and / or Numeracy Improvement Teachers</w:t>
      </w:r>
    </w:p>
    <w:p w14:paraId="0FA6E05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Improvement Teachers have the following functions:</w:t>
      </w:r>
    </w:p>
    <w:p w14:paraId="0FF91F2F" w14:textId="77777777" w:rsidR="00EA34C0" w:rsidRPr="0021379B" w:rsidRDefault="00EA34C0" w:rsidP="00541C39">
      <w:pPr>
        <w:numPr>
          <w:ilvl w:val="0"/>
          <w:numId w:val="10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to deliver literacy or numeracy direct teaching support to students at risk of finishing school without the literacy or numeracy skills they need, and</w:t>
      </w:r>
    </w:p>
    <w:p w14:paraId="632DFCAE" w14:textId="77777777" w:rsidR="00EA34C0" w:rsidRPr="0021379B" w:rsidRDefault="00EA34C0" w:rsidP="00541C39">
      <w:pPr>
        <w:numPr>
          <w:ilvl w:val="0"/>
          <w:numId w:val="10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to build capability in literacy or numeracy teaching across the school</w:t>
      </w:r>
    </w:p>
    <w:p w14:paraId="156AFAB1" w14:textId="083B0D29"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In 202</w:t>
      </w:r>
      <w:r w:rsidR="00F8662F">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t xml:space="preserve">, the MYLNS initiative provides funding to </w:t>
      </w:r>
      <w:r w:rsidR="0024684E">
        <w:rPr>
          <w:rFonts w:ascii="VIC-Regular" w:eastAsia="Times New Roman" w:hAnsi="VIC-Regular" w:cs="Times New Roman"/>
          <w:color w:val="011A3C"/>
          <w:sz w:val="24"/>
          <w:szCs w:val="24"/>
          <w:lang w:val="en" w:eastAsia="en-AU"/>
        </w:rPr>
        <w:t xml:space="preserve">deliver </w:t>
      </w:r>
      <w:r w:rsidRPr="0021379B">
        <w:rPr>
          <w:rFonts w:ascii="VIC-Regular" w:eastAsia="Times New Roman" w:hAnsi="VIC-Regular" w:cs="Times New Roman"/>
          <w:color w:val="011A3C"/>
          <w:sz w:val="24"/>
          <w:szCs w:val="24"/>
          <w:lang w:val="en" w:eastAsia="en-AU"/>
        </w:rPr>
        <w:t xml:space="preserve">direct </w:t>
      </w:r>
      <w:r w:rsidR="0024684E">
        <w:rPr>
          <w:rFonts w:ascii="VIC-Regular" w:eastAsia="Times New Roman" w:hAnsi="VIC-Regular" w:cs="Times New Roman"/>
          <w:color w:val="011A3C"/>
          <w:sz w:val="24"/>
          <w:szCs w:val="24"/>
          <w:lang w:val="en" w:eastAsia="en-AU"/>
        </w:rPr>
        <w:t xml:space="preserve">teaching </w:t>
      </w:r>
      <w:r w:rsidRPr="0021379B">
        <w:rPr>
          <w:rFonts w:ascii="VIC-Regular" w:eastAsia="Times New Roman" w:hAnsi="VIC-Regular" w:cs="Times New Roman"/>
          <w:color w:val="011A3C"/>
          <w:sz w:val="24"/>
          <w:szCs w:val="24"/>
          <w:lang w:val="en" w:eastAsia="en-AU"/>
        </w:rPr>
        <w:t xml:space="preserve">support to students in Year </w:t>
      </w:r>
      <w:r w:rsidR="0024684E">
        <w:rPr>
          <w:rFonts w:ascii="VIC-Regular" w:eastAsia="Times New Roman" w:hAnsi="VIC-Regular" w:cs="Times New Roman"/>
          <w:color w:val="011A3C"/>
          <w:sz w:val="24"/>
          <w:szCs w:val="24"/>
          <w:lang w:val="en" w:eastAsia="en-AU"/>
        </w:rPr>
        <w:t>8</w:t>
      </w:r>
      <w:r w:rsidRPr="0021379B">
        <w:rPr>
          <w:rFonts w:ascii="VIC-Regular" w:eastAsia="Times New Roman" w:hAnsi="VIC-Regular" w:cs="Times New Roman"/>
          <w:color w:val="011A3C"/>
          <w:sz w:val="24"/>
          <w:szCs w:val="24"/>
          <w:lang w:val="en" w:eastAsia="en-AU"/>
        </w:rPr>
        <w:t>and Year</w:t>
      </w:r>
      <w:r w:rsidR="0024684E">
        <w:rPr>
          <w:rFonts w:ascii="VIC-Regular" w:eastAsia="Times New Roman" w:hAnsi="VIC-Regular" w:cs="Times New Roman"/>
          <w:color w:val="011A3C"/>
          <w:sz w:val="24"/>
          <w:szCs w:val="24"/>
          <w:lang w:val="en" w:eastAsia="en-AU"/>
        </w:rPr>
        <w:t>10</w:t>
      </w:r>
      <w:r w:rsidRPr="0021379B">
        <w:rPr>
          <w:rFonts w:ascii="VIC-Regular" w:eastAsia="Times New Roman" w:hAnsi="VIC-Regular" w:cs="Times New Roman"/>
          <w:color w:val="011A3C"/>
          <w:sz w:val="24"/>
          <w:szCs w:val="24"/>
          <w:lang w:val="en" w:eastAsia="en-AU"/>
        </w:rPr>
        <w:t>.</w:t>
      </w:r>
    </w:p>
    <w:p w14:paraId="7341A576"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F43093">
        <w:rPr>
          <w:rFonts w:ascii="VIC-Regular" w:eastAsia="Times New Roman" w:hAnsi="VIC-Regular" w:cs="Times New Roman"/>
          <w:b/>
          <w:bCs/>
          <w:color w:val="011A3C"/>
          <w:sz w:val="26"/>
          <w:szCs w:val="28"/>
          <w:lang w:val="en" w:eastAsia="en-AU"/>
        </w:rPr>
        <w:t>Eligibility</w:t>
      </w:r>
    </w:p>
    <w:p w14:paraId="38759222"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school types are eligible for MYLNS funding at school level.</w:t>
      </w:r>
    </w:p>
    <w:p w14:paraId="1173FC58" w14:textId="77777777" w:rsidR="0073330A" w:rsidRPr="00596BEB"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96BEB">
        <w:rPr>
          <w:rFonts w:ascii="VIC-Regular" w:eastAsia="Times New Roman" w:hAnsi="VIC-Regular" w:cs="Times New Roman"/>
          <w:color w:val="011A3C"/>
          <w:sz w:val="24"/>
          <w:szCs w:val="24"/>
          <w:lang w:val="en" w:eastAsia="en-AU"/>
        </w:rPr>
        <w:t>Secondary</w:t>
      </w:r>
    </w:p>
    <w:p w14:paraId="29A47537" w14:textId="77777777" w:rsidR="0073330A" w:rsidRPr="00596BEB"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96BEB">
        <w:rPr>
          <w:rFonts w:ascii="VIC-Regular" w:eastAsia="Times New Roman" w:hAnsi="VIC-Regular" w:cs="Times New Roman"/>
          <w:color w:val="011A3C"/>
          <w:sz w:val="24"/>
          <w:szCs w:val="24"/>
          <w:lang w:val="en" w:eastAsia="en-AU"/>
        </w:rPr>
        <w:t>Primary / Secondary Combined</w:t>
      </w:r>
    </w:p>
    <w:p w14:paraId="0CB75D3F" w14:textId="7E853F9B" w:rsidR="00EA34C0" w:rsidRPr="004D1CF3" w:rsidRDefault="0073330A" w:rsidP="00EA34C0">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082FE8">
        <w:rPr>
          <w:rFonts w:ascii="VIC-Regular" w:eastAsia="Times New Roman" w:hAnsi="VIC-Regular" w:cs="Times New Roman"/>
          <w:color w:val="011A3C"/>
          <w:sz w:val="24"/>
          <w:szCs w:val="24"/>
          <w:lang w:val="en" w:eastAsia="en-AU"/>
        </w:rPr>
        <w:t xml:space="preserve">Funding may be calculated at the Indicative, Confirmed and Revised cycles, funding is allocated through </w:t>
      </w:r>
      <w:r>
        <w:rPr>
          <w:rFonts w:ascii="VIC-Regular" w:eastAsia="Times New Roman" w:hAnsi="VIC-Regular" w:cs="Times New Roman"/>
          <w:color w:val="011A3C"/>
          <w:sz w:val="24"/>
          <w:szCs w:val="24"/>
          <w:lang w:val="en" w:eastAsia="en-AU"/>
        </w:rPr>
        <w:t xml:space="preserve">credit and </w:t>
      </w:r>
      <w:r w:rsidRPr="00082FE8">
        <w:rPr>
          <w:rFonts w:ascii="VIC-Regular" w:eastAsia="Times New Roman" w:hAnsi="VIC-Regular" w:cs="Times New Roman"/>
          <w:color w:val="011A3C"/>
          <w:sz w:val="24"/>
          <w:szCs w:val="24"/>
          <w:lang w:val="en" w:eastAsia="en-AU"/>
        </w:rPr>
        <w:t>cash funding.</w:t>
      </w:r>
    </w:p>
    <w:p w14:paraId="7180E3C5"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6BD061C4" w14:textId="77777777" w:rsidR="00DD62EE" w:rsidRDefault="00DD62EE"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D62EE">
        <w:rPr>
          <w:rFonts w:ascii="VIC-Regular" w:eastAsia="Times New Roman" w:hAnsi="VIC-Regular" w:cs="Times New Roman"/>
          <w:color w:val="011A3C"/>
          <w:sz w:val="24"/>
          <w:szCs w:val="24"/>
          <w:lang w:val="en" w:eastAsia="en-AU"/>
        </w:rPr>
        <w:t>Schools do not have to apply for MYLNS funding. Funding is determined using NAPLAN literacy and numeracy data and included in the SRP. Schools will also be notified of their funding allocation via an email from their Regional Director.</w:t>
      </w:r>
    </w:p>
    <w:p w14:paraId="5ECC8629" w14:textId="123A6977" w:rsidR="00DD62EE" w:rsidRPr="00EF765F" w:rsidRDefault="00DD62EE" w:rsidP="00DD62EE">
      <w:pPr>
        <w:spacing w:before="100" w:beforeAutospacing="1" w:after="100" w:afterAutospacing="1" w:line="360" w:lineRule="atLeast"/>
        <w:rPr>
          <w:rFonts w:eastAsia="Times New Roman" w:cstheme="minorHAnsi"/>
          <w:sz w:val="24"/>
          <w:szCs w:val="24"/>
          <w:lang w:val="en" w:eastAsia="en-AU"/>
        </w:rPr>
      </w:pPr>
      <w:r w:rsidRPr="00DD62EE">
        <w:rPr>
          <w:rFonts w:ascii="VIC-Regular" w:eastAsia="Times New Roman" w:hAnsi="VIC-Regular" w:cs="Times New Roman"/>
          <w:color w:val="011A3C"/>
          <w:sz w:val="24"/>
          <w:szCs w:val="24"/>
          <w:lang w:val="en" w:eastAsia="en-AU"/>
        </w:rPr>
        <w:lastRenderedPageBreak/>
        <w:t>Funding is determined by a three-year rolling average of the number of students in the school achieving below National Minimum Standard in NAPLAN Reading or Numeracy and students exempt from sitting NAPLAN. Secondary schools with no Year 8 or 10 students, including P-9 Colleges and Senior Secondary Schools, will receive a base funding allocation for direct teaching and capability b</w:t>
      </w:r>
      <w:r w:rsidRPr="00371B75">
        <w:rPr>
          <w:rFonts w:ascii="VIC-Regular" w:eastAsia="Times New Roman" w:hAnsi="VIC-Regular" w:cs="Times New Roman"/>
          <w:color w:val="323E4F" w:themeColor="text2" w:themeShade="BF"/>
          <w:sz w:val="24"/>
          <w:szCs w:val="24"/>
          <w:lang w:val="en" w:eastAsia="en-AU"/>
        </w:rPr>
        <w:t>uilding.</w:t>
      </w:r>
      <w:r w:rsidRPr="00371B75">
        <w:rPr>
          <w:rFonts w:eastAsia="Times New Roman" w:cstheme="minorHAnsi"/>
          <w:color w:val="323E4F" w:themeColor="text2" w:themeShade="BF"/>
          <w:sz w:val="24"/>
          <w:szCs w:val="24"/>
          <w:lang w:eastAsia="en-AU"/>
        </w:rPr>
        <w:t>Schools with Flexible Learning Option (FLO) campuses or programs will also be provided additional funding to increase the support available to students with high levels of need.</w:t>
      </w:r>
    </w:p>
    <w:p w14:paraId="485A870B" w14:textId="77777777" w:rsidR="00EA34C0" w:rsidRPr="00A95F7C"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95F7C">
        <w:rPr>
          <w:rFonts w:ascii="VIC-Regular" w:eastAsia="Times New Roman" w:hAnsi="VIC-Regular" w:cs="Times New Roman"/>
          <w:color w:val="011A3C"/>
          <w:sz w:val="24"/>
          <w:szCs w:val="24"/>
          <w:lang w:val="en" w:eastAsia="en-AU"/>
        </w:rPr>
        <w:t>Funding amounts are expressed as a FTE time release and funded at Classroom Teacher 2.5 level.</w:t>
      </w:r>
    </w:p>
    <w:p w14:paraId="53FB9660" w14:textId="4978C159"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for direct</w:t>
      </w:r>
      <w:r w:rsidR="00DD62EE">
        <w:rPr>
          <w:rFonts w:ascii="VIC-Regular" w:eastAsia="Times New Roman" w:hAnsi="VIC-Regular" w:cs="Times New Roman"/>
          <w:color w:val="011A3C"/>
          <w:sz w:val="24"/>
          <w:szCs w:val="24"/>
          <w:lang w:val="en" w:eastAsia="en-AU"/>
        </w:rPr>
        <w:t xml:space="preserve"> teaching</w:t>
      </w:r>
      <w:r w:rsidRPr="0021379B">
        <w:rPr>
          <w:rFonts w:ascii="VIC-Regular" w:eastAsia="Times New Roman" w:hAnsi="VIC-Regular" w:cs="Times New Roman"/>
          <w:color w:val="011A3C"/>
          <w:sz w:val="24"/>
          <w:szCs w:val="24"/>
          <w:lang w:val="en" w:eastAsia="en-AU"/>
        </w:rPr>
        <w:t xml:space="preserve"> support and teacher capability building are calculated separately.</w:t>
      </w:r>
    </w:p>
    <w:p w14:paraId="75C4B17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is not re-allocated between schools if students transfer in or out during the school year.</w:t>
      </w:r>
    </w:p>
    <w:p w14:paraId="15DA401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Time-release funding for Improvement Teachers</w:t>
      </w:r>
    </w:p>
    <w:p w14:paraId="70D86114" w14:textId="47A7DE32"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Time-release funding for Improvement Teachers will be provided as a cash line under Targeted Initiatives. Funding for teachers starting in 202</w:t>
      </w:r>
      <w:r w:rsidR="00596BEB">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t xml:space="preserve"> commences on 1 January 202</w:t>
      </w:r>
      <w:r w:rsidR="00596BEB">
        <w:rPr>
          <w:rFonts w:ascii="VIC-Regular" w:eastAsia="Times New Roman" w:hAnsi="VIC-Regular" w:cs="Times New Roman"/>
          <w:color w:val="011A3C"/>
          <w:sz w:val="24"/>
          <w:szCs w:val="24"/>
          <w:lang w:val="en" w:eastAsia="en-AU"/>
        </w:rPr>
        <w:t>1</w:t>
      </w:r>
      <w:r w:rsidRPr="0021379B">
        <w:rPr>
          <w:rFonts w:ascii="VIC-Regular" w:eastAsia="Times New Roman" w:hAnsi="VIC-Regular" w:cs="Times New Roman"/>
          <w:color w:val="011A3C"/>
          <w:sz w:val="24"/>
          <w:szCs w:val="24"/>
          <w:lang w:val="en" w:eastAsia="en-AU"/>
        </w:rPr>
        <w:t>.</w:t>
      </w:r>
    </w:p>
    <w:p w14:paraId="21A8C544" w14:textId="38AA412D" w:rsidR="00EA34C0" w:rsidRPr="00371B75" w:rsidRDefault="00EA34C0" w:rsidP="00DD62EE">
      <w:pPr>
        <w:spacing w:before="100" w:beforeAutospacing="1" w:after="100" w:afterAutospacing="1" w:line="360" w:lineRule="atLeast"/>
        <w:rPr>
          <w:color w:val="323E4F" w:themeColor="text2" w:themeShade="BF"/>
        </w:rPr>
      </w:pPr>
      <w:r w:rsidRPr="0021379B">
        <w:rPr>
          <w:rFonts w:ascii="VIC-Regular" w:eastAsia="Times New Roman" w:hAnsi="VIC-Regular" w:cs="Times New Roman"/>
          <w:color w:val="011A3C"/>
          <w:sz w:val="24"/>
          <w:szCs w:val="24"/>
          <w:lang w:val="en" w:eastAsia="en-AU"/>
        </w:rPr>
        <w:t xml:space="preserve">Further </w:t>
      </w:r>
      <w:r w:rsidRPr="00371B75">
        <w:rPr>
          <w:rFonts w:ascii="VIC-Regular" w:eastAsia="Times New Roman" w:hAnsi="VIC-Regular" w:cs="Times New Roman"/>
          <w:color w:val="323E4F" w:themeColor="text2" w:themeShade="BF"/>
          <w:sz w:val="24"/>
          <w:szCs w:val="24"/>
          <w:lang w:val="en" w:eastAsia="en-AU"/>
        </w:rPr>
        <w:t xml:space="preserve">information contact </w:t>
      </w:r>
      <w:r w:rsidR="00DD62EE" w:rsidRPr="00371B75">
        <w:rPr>
          <w:color w:val="323E4F" w:themeColor="text2" w:themeShade="BF"/>
        </w:rPr>
        <w:t>MYLNS@education.vic.gov.au</w:t>
      </w:r>
    </w:p>
    <w:p w14:paraId="62A47F24" w14:textId="77777777" w:rsidR="00EA34C0" w:rsidRDefault="00EA34C0" w:rsidP="00EA34C0">
      <w:r>
        <w:br w:type="page"/>
      </w:r>
    </w:p>
    <w:p w14:paraId="5BAE862E" w14:textId="44251290" w:rsidR="00EA34C0" w:rsidRPr="0021379B" w:rsidRDefault="00EA34C0" w:rsidP="00842992">
      <w:pPr>
        <w:pStyle w:val="Heading2"/>
      </w:pPr>
      <w:bookmarkStart w:id="80" w:name="_Toc52796219"/>
      <w:r w:rsidRPr="0021379B">
        <w:lastRenderedPageBreak/>
        <w:t>Student Excellence Program Funding (Ref 120)</w:t>
      </w:r>
      <w:bookmarkEnd w:id="80"/>
    </w:p>
    <w:p w14:paraId="515E877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Student Excellence Program (SEP) funding will support schools to implement the Student Excellence Program reform package.</w:t>
      </w:r>
    </w:p>
    <w:p w14:paraId="327F207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Student Excellence Program provides supports and programs for Victoria’s high-ability students to reach their full potential through:</w:t>
      </w:r>
    </w:p>
    <w:p w14:paraId="520D5F54" w14:textId="77777777" w:rsidR="00EA34C0" w:rsidRPr="0021379B" w:rsidRDefault="00EA34C0" w:rsidP="00541C39">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structured learning extension programs for high-ability students</w:t>
      </w:r>
    </w:p>
    <w:p w14:paraId="660EFB25" w14:textId="77777777" w:rsidR="00EA34C0" w:rsidRPr="0021379B" w:rsidRDefault="00EA34C0" w:rsidP="00541C39">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upskilling classroom teachers to better support their high-ability students</w:t>
      </w:r>
    </w:p>
    <w:p w14:paraId="67C5AE47" w14:textId="77777777" w:rsidR="00EA34C0" w:rsidRPr="0021379B" w:rsidRDefault="00EA34C0" w:rsidP="00541C39">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more resources for government schools to build their programs for high-ability students</w:t>
      </w:r>
    </w:p>
    <w:p w14:paraId="25BBD2F4"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can decide how to use the funding allocation to best meet the needs of their high-ability students – where relevant, schools can pool funds, for example in collaborative delivery of masterclasses. Many schools are already running programs for high-ability students, and this funding can used to support these programs.</w:t>
      </w:r>
    </w:p>
    <w:p w14:paraId="44610ABB" w14:textId="71E7064C" w:rsidR="00073C34" w:rsidRPr="006E043B" w:rsidRDefault="00073C34" w:rsidP="006E043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E043B">
        <w:rPr>
          <w:rFonts w:ascii="VIC-Bold" w:eastAsia="Times New Roman" w:hAnsi="VIC-Bold" w:cs="Times New Roman"/>
          <w:b/>
          <w:bCs/>
          <w:color w:val="011A3C"/>
          <w:sz w:val="27"/>
          <w:szCs w:val="27"/>
          <w:lang w:val="en" w:eastAsia="en-AU"/>
        </w:rPr>
        <w:t>Accountability</w:t>
      </w:r>
    </w:p>
    <w:p w14:paraId="3198A977" w14:textId="0EFE1464"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are responsible for using the funds within the guidelines provided by the Department.</w:t>
      </w:r>
    </w:p>
    <w:p w14:paraId="48AA175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p>
    <w:p w14:paraId="404F4285" w14:textId="7693301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do not have to apply for funding. All government schools with the following campus types are eligible for the SEP funding</w:t>
      </w:r>
      <w:r>
        <w:rPr>
          <w:rFonts w:ascii="VIC-Regular" w:eastAsia="Times New Roman" w:hAnsi="VIC-Regular" w:cs="Times New Roman"/>
          <w:color w:val="011A3C"/>
          <w:sz w:val="24"/>
          <w:szCs w:val="24"/>
          <w:lang w:val="en" w:eastAsia="en-AU"/>
        </w:rPr>
        <w:t xml:space="preserve"> </w:t>
      </w:r>
      <w:r w:rsidR="0073330A">
        <w:rPr>
          <w:rFonts w:ascii="VIC-Regular" w:eastAsia="Times New Roman" w:hAnsi="VIC-Regular" w:cs="Times New Roman"/>
          <w:color w:val="011A3C"/>
          <w:sz w:val="24"/>
          <w:szCs w:val="24"/>
          <w:lang w:val="en" w:eastAsia="en-AU"/>
        </w:rPr>
        <w:t xml:space="preserve">at </w:t>
      </w:r>
      <w:r w:rsidR="00073C34" w:rsidRPr="006E043B">
        <w:rPr>
          <w:rFonts w:ascii="VIC-Regular" w:eastAsia="Times New Roman" w:hAnsi="VIC-Regular" w:cs="Times New Roman"/>
          <w:color w:val="011A3C"/>
          <w:sz w:val="24"/>
          <w:szCs w:val="24"/>
          <w:lang w:val="en" w:eastAsia="en-AU"/>
        </w:rPr>
        <w:t>school</w:t>
      </w:r>
      <w:r w:rsidR="0073330A">
        <w:rPr>
          <w:rFonts w:ascii="VIC-Regular" w:eastAsia="Times New Roman" w:hAnsi="VIC-Regular" w:cs="Times New Roman"/>
          <w:color w:val="011A3C"/>
          <w:sz w:val="24"/>
          <w:szCs w:val="24"/>
          <w:lang w:val="en" w:eastAsia="en-AU"/>
        </w:rPr>
        <w:t xml:space="preserve"> level.</w:t>
      </w:r>
    </w:p>
    <w:p w14:paraId="3BB7CC32" w14:textId="77777777" w:rsidR="00EA34C0" w:rsidRPr="0021379B" w:rsidRDefault="00EA34C0" w:rsidP="00541C39">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w:t>
      </w:r>
    </w:p>
    <w:p w14:paraId="152178E0" w14:textId="77777777" w:rsidR="00EA34C0" w:rsidRPr="0021379B" w:rsidRDefault="00EA34C0" w:rsidP="00541C39">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4026F3A1" w14:textId="35701E80" w:rsidR="00EA34C0" w:rsidRDefault="00EA34C0" w:rsidP="00541C39">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1D7445BB" w14:textId="77777777" w:rsidR="0073330A" w:rsidRPr="0073330A" w:rsidRDefault="0073330A" w:rsidP="0073330A">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bookmarkStart w:id="81" w:name="_Hlk47892426"/>
      <w:r w:rsidRPr="0073330A">
        <w:rPr>
          <w:rFonts w:ascii="VIC-Regular" w:eastAsia="Times New Roman" w:hAnsi="VIC-Regular" w:cs="Times New Roman"/>
          <w:color w:val="011A3C"/>
          <w:sz w:val="24"/>
          <w:szCs w:val="24"/>
          <w:lang w:val="en" w:eastAsia="en-AU"/>
        </w:rPr>
        <w:t>Funding is calculated at the Indicative, Confirmed and Revised cycles, funding is allocated through credit and cash funding.</w:t>
      </w:r>
    </w:p>
    <w:bookmarkEnd w:id="81"/>
    <w:p w14:paraId="61A8A4CC" w14:textId="77777777" w:rsidR="00EA34C0" w:rsidRPr="0021379B" w:rsidRDefault="00EA34C0" w:rsidP="00EA34C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21379B">
        <w:rPr>
          <w:rFonts w:ascii="VIC-Bold" w:eastAsia="Times New Roman" w:hAnsi="VIC-Bold" w:cs="Times New Roman"/>
          <w:color w:val="011A3C"/>
          <w:sz w:val="27"/>
          <w:szCs w:val="27"/>
          <w:lang w:val="en" w:eastAsia="en-AU"/>
        </w:rPr>
        <w:t>Funding</w:t>
      </w:r>
    </w:p>
    <w:p w14:paraId="1DC7198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SEP funding is allocated based on the number of student enrolments in Victorian government primary and secondary schools.</w:t>
      </w:r>
    </w:p>
    <w:p w14:paraId="7A2A12D9" w14:textId="789BB8B1"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lastRenderedPageBreak/>
        <w:t>Schools will receive a per school allocation related to their cohort size categorisation.  </w:t>
      </w:r>
    </w:p>
    <w:p w14:paraId="460B5D2A" w14:textId="77777777" w:rsidR="00073C34" w:rsidRPr="006E381E" w:rsidRDefault="00073C34" w:rsidP="00073C34">
      <w:pPr>
        <w:pStyle w:val="Heading3"/>
        <w:spacing w:line="360" w:lineRule="auto"/>
        <w:rPr>
          <w:rFonts w:eastAsia="Times New Roman"/>
          <w:lang w:eastAsia="en-AU"/>
        </w:rPr>
      </w:pPr>
      <w:r w:rsidRPr="00A1372D">
        <w:rPr>
          <w:rFonts w:ascii="VIC-Bold" w:eastAsia="Times New Roman" w:hAnsi="VIC-Bold" w:cs="Times New Roman"/>
          <w:color w:val="011A3C"/>
          <w:sz w:val="27"/>
          <w:szCs w:val="27"/>
          <w:lang w:val="en" w:eastAsia="en-AU"/>
        </w:rPr>
        <w:t>Use of SEP funding</w:t>
      </w:r>
    </w:p>
    <w:p w14:paraId="3D01EB06" w14:textId="77777777" w:rsidR="00073C34" w:rsidRPr="00A1372D" w:rsidRDefault="00073C34" w:rsidP="00073C34">
      <w:p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Schools will make local decisions as to how the SEP funding allocation will be used to best meet the needs of their high-ability students. For example the funding may be used for:</w:t>
      </w:r>
    </w:p>
    <w:p w14:paraId="0DA22C0F" w14:textId="77777777" w:rsidR="00073C34" w:rsidRPr="00A1372D" w:rsidRDefault="00073C34" w:rsidP="00073C34">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appointment of a High-Ability Practice Leader</w:t>
      </w:r>
    </w:p>
    <w:p w14:paraId="2180FDFD" w14:textId="77777777" w:rsidR="00073C34" w:rsidRPr="00A1372D" w:rsidRDefault="00073C34" w:rsidP="00073C34">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Casual Relief Teachers</w:t>
      </w:r>
    </w:p>
    <w:p w14:paraId="6C9C91C6" w14:textId="77777777" w:rsidR="00073C34" w:rsidRPr="00A1372D" w:rsidRDefault="00073C34" w:rsidP="00073C34">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delivery of masterclasses for students in the Victorian High-Ability Program</w:t>
      </w:r>
    </w:p>
    <w:p w14:paraId="4D9141FB" w14:textId="77777777" w:rsidR="00073C34" w:rsidRPr="00A1372D" w:rsidRDefault="00073C34" w:rsidP="00073C34">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 xml:space="preserve">other programs for high-ability students </w:t>
      </w:r>
    </w:p>
    <w:p w14:paraId="589D0722" w14:textId="77777777" w:rsidR="00073C34" w:rsidRPr="00A1372D" w:rsidRDefault="00073C34" w:rsidP="00073C34">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co-ordination time for high-ability programs</w:t>
      </w:r>
    </w:p>
    <w:p w14:paraId="1B279219" w14:textId="77777777" w:rsidR="00073C34" w:rsidRPr="00A1372D" w:rsidRDefault="00073C34" w:rsidP="00073C34">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 xml:space="preserve">parent information evenings </w:t>
      </w:r>
    </w:p>
    <w:p w14:paraId="581C8E64" w14:textId="77777777" w:rsidR="00073C34" w:rsidRPr="00A1372D" w:rsidRDefault="00073C34" w:rsidP="00073C34">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guest speakers for high-ability students</w:t>
      </w:r>
    </w:p>
    <w:p w14:paraId="090954EA" w14:textId="10B927A7" w:rsidR="00073C34" w:rsidRPr="00A1372D" w:rsidRDefault="00073C34" w:rsidP="006E043B">
      <w:pPr>
        <w:pStyle w:val="ListParagraph"/>
        <w:numPr>
          <w:ilvl w:val="0"/>
          <w:numId w:val="215"/>
        </w:num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classroom resources for extension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3"/>
        <w:gridCol w:w="3743"/>
      </w:tblGrid>
      <w:tr w:rsidR="00EA34C0" w:rsidRPr="0021379B" w14:paraId="20F5E8A4" w14:textId="77777777" w:rsidTr="00541C39">
        <w:trPr>
          <w:tblHeader/>
        </w:trPr>
        <w:tc>
          <w:tcPr>
            <w:tcW w:w="0" w:type="auto"/>
            <w:gridSpan w:val="2"/>
            <w:vAlign w:val="center"/>
            <w:hideMark/>
          </w:tcPr>
          <w:p w14:paraId="3B21F662" w14:textId="07A8CCE8" w:rsidR="00EA34C0" w:rsidRPr="00371B75" w:rsidRDefault="00EA34C0" w:rsidP="00EA34C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Per School Allocation </w:t>
            </w:r>
            <w:r w:rsidRPr="00371B75">
              <w:rPr>
                <w:rFonts w:ascii="VIC-Bold" w:eastAsia="Times New Roman" w:hAnsi="VIC-Bold" w:cs="Times New Roman" w:hint="eastAsia"/>
                <w:b/>
                <w:bCs/>
                <w:color w:val="323E4F" w:themeColor="text2" w:themeShade="BF"/>
                <w:sz w:val="24"/>
                <w:szCs w:val="24"/>
                <w:lang w:eastAsia="en-AU"/>
              </w:rPr>
              <w:t>—</w:t>
            </w:r>
            <w:r w:rsidRPr="00371B75">
              <w:rPr>
                <w:rFonts w:ascii="VIC-Bold" w:eastAsia="Times New Roman" w:hAnsi="VIC-Bold" w:cs="Times New Roman"/>
                <w:b/>
                <w:bCs/>
                <w:color w:val="323E4F" w:themeColor="text2" w:themeShade="BF"/>
                <w:sz w:val="24"/>
                <w:szCs w:val="24"/>
                <w:lang w:eastAsia="en-AU"/>
              </w:rPr>
              <w:t>202</w:t>
            </w:r>
            <w:r w:rsidR="00596BEB" w:rsidRPr="00371B75">
              <w:rPr>
                <w:rFonts w:ascii="VIC-Bold" w:eastAsia="Times New Roman" w:hAnsi="VIC-Bold" w:cs="Times New Roman"/>
                <w:b/>
                <w:bCs/>
                <w:color w:val="323E4F" w:themeColor="text2" w:themeShade="BF"/>
                <w:sz w:val="24"/>
                <w:szCs w:val="24"/>
                <w:lang w:eastAsia="en-AU"/>
              </w:rPr>
              <w:t>1</w:t>
            </w:r>
          </w:p>
        </w:tc>
      </w:tr>
      <w:tr w:rsidR="00EA34C0" w:rsidRPr="0021379B" w14:paraId="5AB30C0D" w14:textId="77777777" w:rsidTr="00541C39">
        <w:trPr>
          <w:tblHeader/>
        </w:trPr>
        <w:tc>
          <w:tcPr>
            <w:tcW w:w="0" w:type="auto"/>
            <w:hideMark/>
          </w:tcPr>
          <w:p w14:paraId="14EAA9A8"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School Cohort (as per student enrolments)</w:t>
            </w:r>
          </w:p>
        </w:tc>
        <w:tc>
          <w:tcPr>
            <w:tcW w:w="0" w:type="auto"/>
            <w:hideMark/>
          </w:tcPr>
          <w:p w14:paraId="097B4FDA" w14:textId="77777777" w:rsidR="00EA34C0" w:rsidRPr="00371B75"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Per School Cash Allocation ($)</w:t>
            </w:r>
          </w:p>
        </w:tc>
      </w:tr>
      <w:tr w:rsidR="00073C34" w:rsidRPr="0021379B" w14:paraId="2AE374C1" w14:textId="77777777" w:rsidTr="00541C39">
        <w:tc>
          <w:tcPr>
            <w:tcW w:w="0" w:type="auto"/>
            <w:hideMark/>
          </w:tcPr>
          <w:p w14:paraId="21E22EDC"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 – 39</w:t>
            </w:r>
          </w:p>
        </w:tc>
        <w:tc>
          <w:tcPr>
            <w:tcW w:w="0" w:type="auto"/>
            <w:hideMark/>
          </w:tcPr>
          <w:p w14:paraId="7D2C631E" w14:textId="71C99F25"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1,580</w:t>
            </w:r>
          </w:p>
        </w:tc>
      </w:tr>
      <w:tr w:rsidR="00073C34" w:rsidRPr="0021379B" w14:paraId="2339A05A" w14:textId="77777777" w:rsidTr="00541C39">
        <w:tc>
          <w:tcPr>
            <w:tcW w:w="0" w:type="auto"/>
            <w:hideMark/>
          </w:tcPr>
          <w:p w14:paraId="7302D784"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40 – 79</w:t>
            </w:r>
          </w:p>
        </w:tc>
        <w:tc>
          <w:tcPr>
            <w:tcW w:w="0" w:type="auto"/>
            <w:hideMark/>
          </w:tcPr>
          <w:p w14:paraId="4F12E720" w14:textId="5EEB377D"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1,610</w:t>
            </w:r>
          </w:p>
        </w:tc>
      </w:tr>
      <w:tr w:rsidR="00073C34" w:rsidRPr="0021379B" w14:paraId="607170FC" w14:textId="77777777" w:rsidTr="00541C39">
        <w:tc>
          <w:tcPr>
            <w:tcW w:w="0" w:type="auto"/>
            <w:hideMark/>
          </w:tcPr>
          <w:p w14:paraId="74C95B7B"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80 – 99</w:t>
            </w:r>
          </w:p>
        </w:tc>
        <w:tc>
          <w:tcPr>
            <w:tcW w:w="0" w:type="auto"/>
            <w:hideMark/>
          </w:tcPr>
          <w:p w14:paraId="6BC78620" w14:textId="00BCA9BB"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2,065</w:t>
            </w:r>
          </w:p>
        </w:tc>
      </w:tr>
      <w:tr w:rsidR="00073C34" w:rsidRPr="0021379B" w14:paraId="2267AEB5" w14:textId="77777777" w:rsidTr="00541C39">
        <w:tc>
          <w:tcPr>
            <w:tcW w:w="0" w:type="auto"/>
            <w:hideMark/>
          </w:tcPr>
          <w:p w14:paraId="7B085B05"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100 – 149</w:t>
            </w:r>
          </w:p>
        </w:tc>
        <w:tc>
          <w:tcPr>
            <w:tcW w:w="0" w:type="auto"/>
            <w:hideMark/>
          </w:tcPr>
          <w:p w14:paraId="0A98C91A" w14:textId="60C80CF3"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2,875</w:t>
            </w:r>
          </w:p>
        </w:tc>
      </w:tr>
      <w:tr w:rsidR="00073C34" w:rsidRPr="0021379B" w14:paraId="11DDDEB5" w14:textId="77777777" w:rsidTr="00541C39">
        <w:tc>
          <w:tcPr>
            <w:tcW w:w="0" w:type="auto"/>
            <w:hideMark/>
          </w:tcPr>
          <w:p w14:paraId="7EA61B6F"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150 – 199</w:t>
            </w:r>
          </w:p>
        </w:tc>
        <w:tc>
          <w:tcPr>
            <w:tcW w:w="0" w:type="auto"/>
            <w:hideMark/>
          </w:tcPr>
          <w:p w14:paraId="45776EAE" w14:textId="75A5B1F3"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3,945</w:t>
            </w:r>
          </w:p>
        </w:tc>
      </w:tr>
      <w:tr w:rsidR="00073C34" w:rsidRPr="0021379B" w14:paraId="0951A719" w14:textId="77777777" w:rsidTr="00541C39">
        <w:tc>
          <w:tcPr>
            <w:tcW w:w="0" w:type="auto"/>
            <w:hideMark/>
          </w:tcPr>
          <w:p w14:paraId="07B582E6"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200 – 249</w:t>
            </w:r>
          </w:p>
        </w:tc>
        <w:tc>
          <w:tcPr>
            <w:tcW w:w="0" w:type="auto"/>
            <w:hideMark/>
          </w:tcPr>
          <w:p w14:paraId="596B6D6C" w14:textId="70A89D41"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5,130</w:t>
            </w:r>
          </w:p>
        </w:tc>
      </w:tr>
      <w:tr w:rsidR="00073C34" w:rsidRPr="0021379B" w14:paraId="22063B8F" w14:textId="77777777" w:rsidTr="00541C39">
        <w:tc>
          <w:tcPr>
            <w:tcW w:w="0" w:type="auto"/>
            <w:hideMark/>
          </w:tcPr>
          <w:p w14:paraId="1C841BE9"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250 – 299</w:t>
            </w:r>
          </w:p>
        </w:tc>
        <w:tc>
          <w:tcPr>
            <w:tcW w:w="0" w:type="auto"/>
            <w:hideMark/>
          </w:tcPr>
          <w:p w14:paraId="132F8B78" w14:textId="0FA5A8B3"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6,300</w:t>
            </w:r>
          </w:p>
        </w:tc>
      </w:tr>
      <w:tr w:rsidR="00073C34" w:rsidRPr="0021379B" w14:paraId="76C89672" w14:textId="77777777" w:rsidTr="00541C39">
        <w:tc>
          <w:tcPr>
            <w:tcW w:w="0" w:type="auto"/>
            <w:hideMark/>
          </w:tcPr>
          <w:p w14:paraId="6427A2EE"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300 – 399</w:t>
            </w:r>
          </w:p>
        </w:tc>
        <w:tc>
          <w:tcPr>
            <w:tcW w:w="0" w:type="auto"/>
            <w:hideMark/>
          </w:tcPr>
          <w:p w14:paraId="5FA27753" w14:textId="614585A9"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8,005</w:t>
            </w:r>
          </w:p>
        </w:tc>
      </w:tr>
      <w:tr w:rsidR="00073C34" w:rsidRPr="0021379B" w14:paraId="55D023AD" w14:textId="77777777" w:rsidTr="00541C39">
        <w:tc>
          <w:tcPr>
            <w:tcW w:w="0" w:type="auto"/>
            <w:hideMark/>
          </w:tcPr>
          <w:p w14:paraId="084097D1"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400 – 499</w:t>
            </w:r>
          </w:p>
        </w:tc>
        <w:tc>
          <w:tcPr>
            <w:tcW w:w="0" w:type="auto"/>
            <w:hideMark/>
          </w:tcPr>
          <w:p w14:paraId="310CDEE7" w14:textId="43258BCC"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10,295</w:t>
            </w:r>
          </w:p>
        </w:tc>
      </w:tr>
      <w:tr w:rsidR="00073C34" w:rsidRPr="0021379B" w14:paraId="3DF02068" w14:textId="77777777" w:rsidTr="00541C39">
        <w:tc>
          <w:tcPr>
            <w:tcW w:w="0" w:type="auto"/>
            <w:hideMark/>
          </w:tcPr>
          <w:p w14:paraId="2CF582EF"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500 – 699</w:t>
            </w:r>
          </w:p>
        </w:tc>
        <w:tc>
          <w:tcPr>
            <w:tcW w:w="0" w:type="auto"/>
            <w:hideMark/>
          </w:tcPr>
          <w:p w14:paraId="61ACD18E" w14:textId="1270DE10"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13,600</w:t>
            </w:r>
          </w:p>
        </w:tc>
      </w:tr>
      <w:tr w:rsidR="00073C34" w:rsidRPr="0021379B" w14:paraId="2E84DC65" w14:textId="77777777" w:rsidTr="00541C39">
        <w:tc>
          <w:tcPr>
            <w:tcW w:w="0" w:type="auto"/>
            <w:hideMark/>
          </w:tcPr>
          <w:p w14:paraId="40181E3B"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700 – 899</w:t>
            </w:r>
          </w:p>
        </w:tc>
        <w:tc>
          <w:tcPr>
            <w:tcW w:w="0" w:type="auto"/>
            <w:hideMark/>
          </w:tcPr>
          <w:p w14:paraId="784C9F36" w14:textId="0F03D432"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18,220</w:t>
            </w:r>
          </w:p>
        </w:tc>
      </w:tr>
      <w:tr w:rsidR="00073C34" w:rsidRPr="0021379B" w14:paraId="021225F7" w14:textId="77777777" w:rsidTr="00541C39">
        <w:tc>
          <w:tcPr>
            <w:tcW w:w="0" w:type="auto"/>
            <w:hideMark/>
          </w:tcPr>
          <w:p w14:paraId="3A07D93F"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900 – 1199</w:t>
            </w:r>
          </w:p>
        </w:tc>
        <w:tc>
          <w:tcPr>
            <w:tcW w:w="0" w:type="auto"/>
            <w:hideMark/>
          </w:tcPr>
          <w:p w14:paraId="5A261576" w14:textId="20F0477A"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23,795</w:t>
            </w:r>
          </w:p>
        </w:tc>
      </w:tr>
      <w:tr w:rsidR="00073C34" w:rsidRPr="0021379B" w14:paraId="4864E0FE" w14:textId="77777777" w:rsidTr="00541C39">
        <w:tc>
          <w:tcPr>
            <w:tcW w:w="0" w:type="auto"/>
            <w:hideMark/>
          </w:tcPr>
          <w:p w14:paraId="0D471CE5"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1200 – 1499</w:t>
            </w:r>
          </w:p>
        </w:tc>
        <w:tc>
          <w:tcPr>
            <w:tcW w:w="0" w:type="auto"/>
            <w:hideMark/>
          </w:tcPr>
          <w:p w14:paraId="7C2C3E74" w14:textId="3CF2C779"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30,975</w:t>
            </w:r>
          </w:p>
        </w:tc>
      </w:tr>
      <w:tr w:rsidR="00073C34" w:rsidRPr="0021379B" w14:paraId="677E499A" w14:textId="77777777" w:rsidTr="00541C39">
        <w:tc>
          <w:tcPr>
            <w:tcW w:w="0" w:type="auto"/>
            <w:hideMark/>
          </w:tcPr>
          <w:p w14:paraId="61183A60" w14:textId="77777777"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1500 +</w:t>
            </w:r>
          </w:p>
        </w:tc>
        <w:tc>
          <w:tcPr>
            <w:tcW w:w="0" w:type="auto"/>
            <w:hideMark/>
          </w:tcPr>
          <w:p w14:paraId="7984675D" w14:textId="48DB309E" w:rsidR="00073C34" w:rsidRPr="00371B75" w:rsidRDefault="00073C34" w:rsidP="00073C34">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35,850</w:t>
            </w:r>
          </w:p>
        </w:tc>
      </w:tr>
    </w:tbl>
    <w:p w14:paraId="2BC3E69D" w14:textId="77777777" w:rsidR="00073C34" w:rsidRDefault="00073C34" w:rsidP="00073C34">
      <w:pPr>
        <w:rPr>
          <w:rFonts w:ascii="Arial" w:hAnsi="Arial" w:cs="Arial"/>
          <w:color w:val="011A3C"/>
          <w:sz w:val="20"/>
          <w:szCs w:val="20"/>
        </w:rPr>
      </w:pPr>
    </w:p>
    <w:p w14:paraId="0E5C9AE0" w14:textId="1CB6CC2F" w:rsidR="00073C34" w:rsidRPr="00A1372D" w:rsidRDefault="00073C34" w:rsidP="00073C34">
      <w:p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 xml:space="preserve">Targeted Student Excellence Program funding operates within a capped budget. This means that cohort allocations may be adjusted up or down </w:t>
      </w:r>
      <w:r w:rsidRPr="00A1372D">
        <w:rPr>
          <w:rFonts w:ascii="VIC-Regular" w:eastAsia="Times New Roman" w:hAnsi="VIC-Regular" w:cs="Times New Roman"/>
          <w:color w:val="011A3C"/>
          <w:sz w:val="24"/>
          <w:szCs w:val="24"/>
          <w:lang w:val="en" w:eastAsia="en-AU"/>
        </w:rPr>
        <w:lastRenderedPageBreak/>
        <w:t>depending on both changes in total enrolments from all schools and the spread of these enrolments across cohorts.</w:t>
      </w:r>
    </w:p>
    <w:p w14:paraId="11AE2D6A" w14:textId="77777777" w:rsidR="00073C34" w:rsidRPr="00A1372D" w:rsidRDefault="00073C34" w:rsidP="00A1372D">
      <w:pPr>
        <w:rPr>
          <w:rFonts w:ascii="VIC-Regular" w:hAnsi="VIC-Regular" w:cs="Times New Roman"/>
          <w:color w:val="011A3C"/>
          <w:sz w:val="24"/>
          <w:szCs w:val="24"/>
          <w:lang w:val="en"/>
        </w:rPr>
      </w:pPr>
      <w:r w:rsidRPr="00A1372D">
        <w:rPr>
          <w:rFonts w:ascii="VIC-Regular" w:eastAsia="Times New Roman" w:hAnsi="VIC-Regular" w:cs="Times New Roman"/>
          <w:color w:val="011A3C"/>
          <w:sz w:val="24"/>
          <w:szCs w:val="24"/>
          <w:lang w:val="en" w:eastAsia="en-AU"/>
        </w:rPr>
        <w:t>For example, even if the total number of enrolments did not change between 2020 and 2021, if there was an increase in the proportion of enrolments towards the higher funded cohorts, the confirmed cohort rates for 2021 may be adjusted down, once enrolments are confirmed.</w:t>
      </w:r>
    </w:p>
    <w:p w14:paraId="1F36A4CA" w14:textId="58E61079" w:rsidR="00073C34" w:rsidRPr="004D1CF3" w:rsidRDefault="00073C34" w:rsidP="004D1CF3">
      <w:pPr>
        <w:rPr>
          <w:rFonts w:ascii="VIC-Regular" w:hAnsi="VIC-Regular" w:cs="Times New Roman"/>
          <w:color w:val="011A3C"/>
          <w:sz w:val="24"/>
          <w:szCs w:val="24"/>
          <w:lang w:val="en"/>
        </w:rPr>
      </w:pPr>
      <w:r w:rsidRPr="00A1372D">
        <w:rPr>
          <w:rFonts w:ascii="VIC-Regular" w:eastAsia="Times New Roman" w:hAnsi="VIC-Regular" w:cs="Times New Roman"/>
          <w:color w:val="011A3C"/>
          <w:sz w:val="24"/>
          <w:szCs w:val="24"/>
          <w:lang w:val="en" w:eastAsia="en-AU"/>
        </w:rPr>
        <w:t>Conversely, if the total number of enrolments did not change between 2020 and 2021, if there was a significant increase in the proportion of enrolments towards the lower funded cohorts, the confirmed cohort allocations for 2021 may be adjusted up, once enrolments are confirmed. The impact of changes in enrolment patterns is spread proportionally across all band funding levels.</w:t>
      </w:r>
    </w:p>
    <w:p w14:paraId="72DA8BA8" w14:textId="0D62B7ED"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452CAFC1" w14:textId="77777777" w:rsidR="00EA34C0" w:rsidRPr="0021379B" w:rsidRDefault="007E3659" w:rsidP="00541C39">
      <w:pPr>
        <w:numPr>
          <w:ilvl w:val="0"/>
          <w:numId w:val="105"/>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09" w:anchor="/app/content/3162/support_and_service_(schools)%252Flearning_and_teaching%252Fstudent_excellence_program%252Fstudent_excellence_program_overview" w:history="1">
        <w:r w:rsidR="00EA34C0" w:rsidRPr="0021379B">
          <w:rPr>
            <w:rFonts w:ascii="VIC-Regular" w:eastAsia="Times New Roman" w:hAnsi="VIC-Regular" w:cs="Times New Roman"/>
            <w:color w:val="011A3C"/>
            <w:sz w:val="24"/>
            <w:szCs w:val="24"/>
            <w:lang w:val="en" w:eastAsia="en-AU"/>
          </w:rPr>
          <w:t>Student Excellence Program</w:t>
        </w:r>
      </w:hyperlink>
    </w:p>
    <w:p w14:paraId="539F0615" w14:textId="2BAC4191" w:rsidR="00EA34C0" w:rsidRDefault="00EA34C0" w:rsidP="006E043B">
      <w:pPr>
        <w:spacing w:before="100" w:beforeAutospacing="1" w:after="100" w:afterAutospacing="1" w:line="360" w:lineRule="atLeast"/>
      </w:pPr>
      <w:r w:rsidRPr="00073C34">
        <w:rPr>
          <w:rFonts w:ascii="VIC-Regular" w:eastAsia="Times New Roman" w:hAnsi="VIC-Regular" w:cs="Times New Roman"/>
          <w:color w:val="011A3C"/>
          <w:sz w:val="24"/>
          <w:szCs w:val="24"/>
          <w:lang w:val="en" w:eastAsia="en-AU"/>
        </w:rPr>
        <w:t xml:space="preserve">Contact: </w:t>
      </w:r>
      <w:hyperlink r:id="rId110" w:history="1">
        <w:r w:rsidR="001A1640" w:rsidRPr="0067434B">
          <w:rPr>
            <w:rStyle w:val="Hyperlink"/>
            <w:rFonts w:ascii="Arial" w:hAnsi="Arial" w:cs="Arial"/>
            <w:sz w:val="20"/>
            <w:szCs w:val="20"/>
            <w:lang w:eastAsia="en-AU"/>
          </w:rPr>
          <w:t>student.excellence@education.</w:t>
        </w:r>
        <w:r w:rsidR="001A1640" w:rsidRPr="00F62FEB">
          <w:rPr>
            <w:rStyle w:val="Hyperlink"/>
            <w:rFonts w:ascii="Arial" w:hAnsi="Arial" w:cs="Arial"/>
            <w:sz w:val="20"/>
            <w:szCs w:val="20"/>
            <w:lang w:eastAsia="en-AU"/>
          </w:rPr>
          <w:t>vic.gov.au</w:t>
        </w:r>
      </w:hyperlink>
      <w:r w:rsidR="001A1640" w:rsidRPr="004B4D12">
        <w:rPr>
          <w:rFonts w:ascii="Arial" w:hAnsi="Arial" w:cs="Arial"/>
          <w:sz w:val="20"/>
          <w:szCs w:val="20"/>
          <w:lang w:eastAsia="en-AU"/>
        </w:rPr>
        <w:t xml:space="preserve"> </w:t>
      </w:r>
    </w:p>
    <w:p w14:paraId="16B93A6F" w14:textId="77777777" w:rsidR="00EA34C0" w:rsidRDefault="00EA34C0" w:rsidP="00EA34C0">
      <w:r>
        <w:br w:type="page"/>
      </w:r>
    </w:p>
    <w:p w14:paraId="5B036FE4" w14:textId="5D45E711" w:rsidR="00EA34C0" w:rsidRPr="0021379B" w:rsidRDefault="00EA34C0" w:rsidP="00842992">
      <w:pPr>
        <w:pStyle w:val="Heading2"/>
      </w:pPr>
      <w:bookmarkStart w:id="82" w:name="_Toc52796220"/>
      <w:bookmarkStart w:id="83" w:name="_Hlk50374925"/>
      <w:r w:rsidRPr="0021379B">
        <w:lastRenderedPageBreak/>
        <w:t>VCE Revision Lectures (Ref 121)</w:t>
      </w:r>
      <w:bookmarkEnd w:id="82"/>
    </w:p>
    <w:p w14:paraId="2DE8672E"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VCE Revision Lectures initiative recognises that VCE revision lectures are often out of reach for rural and regional students due to the additional travel and accommodation cost.  This initiative is part of the Victorian Government’s investment of $82.8 million in rural and regional education to bridge the divide between country and metropolitan schools.</w:t>
      </w:r>
    </w:p>
    <w:p w14:paraId="47CB1206" w14:textId="0EC8D16D"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VCE revision lectures targeted funding is to support </w:t>
      </w:r>
      <w:r w:rsidR="009E32AE">
        <w:rPr>
          <w:rFonts w:ascii="VIC-Regular" w:eastAsia="Times New Roman" w:hAnsi="VIC-Regular" w:cs="Times New Roman"/>
          <w:color w:val="011A3C"/>
          <w:sz w:val="24"/>
          <w:szCs w:val="24"/>
          <w:lang w:val="en" w:eastAsia="en-AU"/>
        </w:rPr>
        <w:t xml:space="preserve">government </w:t>
      </w:r>
      <w:r w:rsidRPr="0021379B">
        <w:rPr>
          <w:rFonts w:ascii="VIC-Regular" w:eastAsia="Times New Roman" w:hAnsi="VIC-Regular" w:cs="Times New Roman"/>
          <w:color w:val="011A3C"/>
          <w:sz w:val="24"/>
          <w:szCs w:val="24"/>
          <w:lang w:val="en" w:eastAsia="en-AU"/>
        </w:rPr>
        <w:t>senior secondary rural and regional student</w:t>
      </w:r>
      <w:r>
        <w:rPr>
          <w:rFonts w:ascii="VIC-Regular" w:eastAsia="Times New Roman" w:hAnsi="VIC-Regular" w:cs="Times New Roman"/>
          <w:color w:val="011A3C"/>
          <w:sz w:val="24"/>
          <w:szCs w:val="24"/>
          <w:lang w:val="en" w:eastAsia="en-AU"/>
        </w:rPr>
        <w:t>s</w:t>
      </w:r>
      <w:r w:rsidRPr="0021379B">
        <w:rPr>
          <w:rFonts w:ascii="VIC-Regular" w:eastAsia="Times New Roman" w:hAnsi="VIC-Regular" w:cs="Times New Roman"/>
          <w:color w:val="011A3C"/>
          <w:sz w:val="24"/>
          <w:szCs w:val="24"/>
          <w:lang w:val="en" w:eastAsia="en-AU"/>
        </w:rPr>
        <w:t xml:space="preserve"> access to VCE revision lectures across the state and in </w:t>
      </w:r>
      <w:r w:rsidR="009E32AE">
        <w:rPr>
          <w:rFonts w:ascii="VIC-Regular" w:eastAsia="Times New Roman" w:hAnsi="VIC-Regular" w:cs="Times New Roman"/>
          <w:color w:val="011A3C"/>
          <w:sz w:val="24"/>
          <w:szCs w:val="24"/>
          <w:lang w:val="en" w:eastAsia="en-AU"/>
        </w:rPr>
        <w:t xml:space="preserve">a </w:t>
      </w:r>
      <w:r w:rsidRPr="0021379B">
        <w:rPr>
          <w:rFonts w:ascii="VIC-Regular" w:eastAsia="Times New Roman" w:hAnsi="VIC-Regular" w:cs="Times New Roman"/>
          <w:color w:val="011A3C"/>
          <w:sz w:val="24"/>
          <w:szCs w:val="24"/>
          <w:lang w:val="en" w:eastAsia="en-AU"/>
        </w:rPr>
        <w:t>range of subjects.</w:t>
      </w:r>
    </w:p>
    <w:p w14:paraId="547F408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Accountability</w:t>
      </w:r>
      <w:r w:rsidRPr="00541C39">
        <w:rPr>
          <w:rFonts w:ascii="VIC-Bold" w:eastAsia="Times New Roman" w:hAnsi="VIC-Bold" w:cs="Times New Roman" w:hint="eastAsia"/>
          <w:b/>
          <w:bCs/>
          <w:color w:val="011A3C"/>
          <w:sz w:val="27"/>
          <w:szCs w:val="27"/>
          <w:lang w:val="en" w:eastAsia="en-AU"/>
        </w:rPr>
        <w:t> </w:t>
      </w:r>
    </w:p>
    <w:p w14:paraId="30DA63E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are responsible for using the funds within the guidelines provided by the Department.</w:t>
      </w:r>
    </w:p>
    <w:p w14:paraId="4537D3A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r w:rsidRPr="00541C39">
        <w:rPr>
          <w:rFonts w:ascii="VIC-Bold" w:eastAsia="Times New Roman" w:hAnsi="VIC-Bold" w:cs="Times New Roman" w:hint="eastAsia"/>
          <w:b/>
          <w:bCs/>
          <w:color w:val="011A3C"/>
          <w:sz w:val="27"/>
          <w:szCs w:val="27"/>
          <w:lang w:val="en" w:eastAsia="en-AU"/>
        </w:rPr>
        <w:t> </w:t>
      </w:r>
    </w:p>
    <w:p w14:paraId="09C0CBF3" w14:textId="0CC4F390"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This funding is only applicable to rural and regional government schools with senior secondary graded enrolments (Year 11 and Year 12) . Schools do not have to apply for funding. Eligibility will be determined using data from the February School Census. </w:t>
      </w:r>
    </w:p>
    <w:p w14:paraId="5BF8ED7F" w14:textId="77777777" w:rsidR="0003626E" w:rsidRDefault="0003626E" w:rsidP="00036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81027">
        <w:rPr>
          <w:rFonts w:ascii="VIC-Regular" w:eastAsia="Times New Roman" w:hAnsi="VIC-Regular" w:cs="Times New Roman"/>
          <w:color w:val="011A3C"/>
          <w:sz w:val="24"/>
          <w:szCs w:val="24"/>
          <w:lang w:val="en" w:eastAsia="en-AU"/>
        </w:rPr>
        <w:t xml:space="preserve">This initiative defines rural and regional government schools as </w:t>
      </w:r>
      <w:r>
        <w:rPr>
          <w:rFonts w:ascii="VIC-Regular" w:eastAsia="Times New Roman" w:hAnsi="VIC-Regular" w:cs="Times New Roman"/>
          <w:color w:val="011A3C"/>
          <w:sz w:val="24"/>
          <w:szCs w:val="24"/>
          <w:lang w:val="en" w:eastAsia="en-AU"/>
        </w:rPr>
        <w:t>those</w:t>
      </w:r>
      <w:r w:rsidRPr="00081027">
        <w:rPr>
          <w:rFonts w:ascii="VIC-Regular" w:eastAsia="Times New Roman" w:hAnsi="VIC-Regular" w:cs="Times New Roman"/>
          <w:color w:val="011A3C"/>
          <w:sz w:val="24"/>
          <w:szCs w:val="24"/>
          <w:lang w:val="en" w:eastAsia="en-AU"/>
        </w:rPr>
        <w:t xml:space="preserve"> in Local Government Areas (LGA</w:t>
      </w:r>
      <w:r>
        <w:rPr>
          <w:rFonts w:ascii="VIC-Regular" w:eastAsia="Times New Roman" w:hAnsi="VIC-Regular" w:cs="Times New Roman"/>
          <w:color w:val="011A3C"/>
          <w:sz w:val="24"/>
          <w:szCs w:val="24"/>
          <w:lang w:val="en" w:eastAsia="en-AU"/>
        </w:rPr>
        <w:t>s</w:t>
      </w:r>
      <w:r w:rsidRPr="00081027">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w:t>
      </w:r>
      <w:r w:rsidRPr="00081027">
        <w:rPr>
          <w:rFonts w:ascii="VIC-Regular" w:eastAsia="Times New Roman" w:hAnsi="VIC-Regular" w:cs="Times New Roman"/>
          <w:color w:val="011A3C"/>
          <w:sz w:val="24"/>
          <w:szCs w:val="24"/>
          <w:lang w:val="en" w:eastAsia="en-AU"/>
        </w:rPr>
        <w:t>outside of the metropolitan LGAs</w:t>
      </w:r>
      <w:r>
        <w:rPr>
          <w:rFonts w:ascii="VIC-Regular" w:eastAsia="Times New Roman" w:hAnsi="VIC-Regular" w:cs="Times New Roman"/>
          <w:color w:val="011A3C"/>
          <w:sz w:val="24"/>
          <w:szCs w:val="24"/>
          <w:lang w:val="en" w:eastAsia="en-AU"/>
        </w:rPr>
        <w:t xml:space="preserve">. Rural and regional LGAs </w:t>
      </w:r>
      <w:r w:rsidRPr="00081027">
        <w:rPr>
          <w:rFonts w:ascii="VIC-Regular" w:eastAsia="Times New Roman" w:hAnsi="VIC-Regular" w:cs="Times New Roman"/>
          <w:color w:val="011A3C"/>
          <w:sz w:val="24"/>
          <w:szCs w:val="24"/>
          <w:lang w:val="en" w:eastAsia="en-AU"/>
        </w:rPr>
        <w:t xml:space="preserve">are aligned with the following Department of Education and Training Areas: Mallee, Loddon Campaspe, Central Highlands, Wimmera South-West, Barwon, Ovens Murray, Goulburn, Inner Gippsland and Outer Gippsland. The schools in these DET Areas are eligible for the VCE revision lecture funding. </w:t>
      </w:r>
    </w:p>
    <w:p w14:paraId="445CE7EB" w14:textId="7AC08472" w:rsidR="00EA34C0" w:rsidRPr="0021379B" w:rsidRDefault="0003626E"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Rural and regional s</w:t>
      </w:r>
      <w:r w:rsidR="00EA34C0" w:rsidRPr="0021379B">
        <w:rPr>
          <w:rFonts w:ascii="VIC-Regular" w:eastAsia="Times New Roman" w:hAnsi="VIC-Regular" w:cs="Times New Roman"/>
          <w:color w:val="011A3C"/>
          <w:sz w:val="24"/>
          <w:szCs w:val="24"/>
          <w:lang w:val="en" w:eastAsia="en-AU"/>
        </w:rPr>
        <w:t>chools with the following campus types are eligible for VCE Revision Lecture funding at campus level.</w:t>
      </w:r>
    </w:p>
    <w:p w14:paraId="3B39F684" w14:textId="77777777" w:rsidR="00EA34C0" w:rsidRPr="0021379B" w:rsidRDefault="00EA34C0" w:rsidP="00541C39">
      <w:pPr>
        <w:numPr>
          <w:ilvl w:val="0"/>
          <w:numId w:val="10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39B2FF1E" w14:textId="77777777" w:rsidR="00EA34C0" w:rsidRPr="003D5B6B" w:rsidRDefault="00EA34C0" w:rsidP="00541C39">
      <w:pPr>
        <w:numPr>
          <w:ilvl w:val="0"/>
          <w:numId w:val="10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35737F2B" w14:textId="628394BF" w:rsidR="003E6B76"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 xml:space="preserve">Funding is calculated at the Indicative, Confirmed and Revised </w:t>
      </w:r>
      <w:r w:rsidR="0003626E" w:rsidRPr="0095279A">
        <w:rPr>
          <w:rFonts w:ascii="VIC-Regular" w:eastAsia="Times New Roman" w:hAnsi="VIC-Regular" w:cs="Times New Roman"/>
          <w:color w:val="011A3C"/>
          <w:sz w:val="24"/>
          <w:szCs w:val="24"/>
          <w:lang w:val="en" w:eastAsia="en-AU"/>
        </w:rPr>
        <w:t>cycles</w:t>
      </w:r>
      <w:r w:rsidR="0003626E">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funding is allocated through cash funding.</w:t>
      </w:r>
    </w:p>
    <w:p w14:paraId="6CEE46E4" w14:textId="0C227B10" w:rsidR="00D56CEA" w:rsidRDefault="00D56CE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1D7CD63" w14:textId="77777777" w:rsidR="00D56CEA" w:rsidRPr="00725885" w:rsidRDefault="00D56CE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92500B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How funding is calculated</w:t>
      </w:r>
      <w:r w:rsidRPr="00541C39">
        <w:rPr>
          <w:rFonts w:ascii="VIC-Bold" w:eastAsia="Times New Roman" w:hAnsi="VIC-Bold" w:cs="Times New Roman" w:hint="eastAsia"/>
          <w:b/>
          <w:bCs/>
          <w:color w:val="011A3C"/>
          <w:sz w:val="27"/>
          <w:szCs w:val="27"/>
          <w:lang w:val="en" w:eastAsia="en-AU"/>
        </w:rPr>
        <w:t> </w:t>
      </w:r>
    </w:p>
    <w:p w14:paraId="6B9A3E1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funding formula takes into account the number of Year 11 and 12 enrolments and the school’s location, with those schools furthest from Melbourne and other major centres receiving a higher subsidy to account for the higher costs.</w:t>
      </w:r>
    </w:p>
    <w:p w14:paraId="174D7DC8" w14:textId="6C880EB0"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The funding is calculated using the percentage of Year 11 and 12 student enrolments, </w:t>
      </w:r>
      <w:r w:rsidR="0003626E">
        <w:rPr>
          <w:rFonts w:ascii="VIC-Regular" w:eastAsia="Times New Roman" w:hAnsi="VIC-Regular" w:cs="Times New Roman"/>
          <w:color w:val="011A3C"/>
          <w:sz w:val="24"/>
          <w:szCs w:val="24"/>
          <w:lang w:val="en" w:eastAsia="en-AU"/>
        </w:rPr>
        <w:t xml:space="preserve">base </w:t>
      </w:r>
      <w:r w:rsidRPr="0021379B">
        <w:rPr>
          <w:rFonts w:ascii="VIC-Regular" w:eastAsia="Times New Roman" w:hAnsi="VIC-Regular" w:cs="Times New Roman"/>
          <w:color w:val="011A3C"/>
          <w:sz w:val="24"/>
          <w:szCs w:val="24"/>
          <w:lang w:val="en" w:eastAsia="en-AU"/>
        </w:rPr>
        <w:t xml:space="preserve">student rate and location indexed funding. The percentages of Year 11 (15%) and Year 12 (30%) student enrolments are estimates of rural and regional students who will access VCE revision lectures. The </w:t>
      </w:r>
      <w:r w:rsidR="0003626E">
        <w:rPr>
          <w:rFonts w:ascii="VIC-Regular" w:eastAsia="Times New Roman" w:hAnsi="VIC-Regular" w:cs="Times New Roman"/>
          <w:color w:val="011A3C"/>
          <w:sz w:val="24"/>
          <w:szCs w:val="24"/>
          <w:lang w:val="en" w:eastAsia="en-AU"/>
        </w:rPr>
        <w:t xml:space="preserve">base </w:t>
      </w:r>
      <w:r w:rsidRPr="0021379B">
        <w:rPr>
          <w:rFonts w:ascii="VIC-Regular" w:eastAsia="Times New Roman" w:hAnsi="VIC-Regular" w:cs="Times New Roman"/>
          <w:color w:val="011A3C"/>
          <w:sz w:val="24"/>
          <w:szCs w:val="24"/>
          <w:lang w:val="en" w:eastAsia="en-AU"/>
        </w:rPr>
        <w:t>student rate may differ from year to year.</w:t>
      </w:r>
    </w:p>
    <w:p w14:paraId="12DF31C2" w14:textId="3AA86CED"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 xml:space="preserve">Rates </w:t>
      </w:r>
      <w:r w:rsidRPr="00541C39">
        <w:rPr>
          <w:rFonts w:ascii="VIC-Bold" w:eastAsia="Times New Roman" w:hAnsi="VIC-Bold" w:cs="Times New Roman" w:hint="eastAsia"/>
          <w:b/>
          <w:bCs/>
          <w:color w:val="011A3C"/>
          <w:sz w:val="27"/>
          <w:szCs w:val="27"/>
          <w:lang w:val="en" w:eastAsia="en-AU"/>
        </w:rPr>
        <w:t>—</w:t>
      </w:r>
      <w:r w:rsidRPr="00541C39">
        <w:rPr>
          <w:rFonts w:ascii="VIC-Bold" w:eastAsia="Times New Roman" w:hAnsi="VIC-Bold" w:cs="Times New Roman"/>
          <w:b/>
          <w:bCs/>
          <w:color w:val="011A3C"/>
          <w:sz w:val="27"/>
          <w:szCs w:val="27"/>
          <w:lang w:val="en" w:eastAsia="en-AU"/>
        </w:rPr>
        <w:t xml:space="preserve"> 202</w:t>
      </w:r>
      <w:r w:rsidR="00596BEB">
        <w:rPr>
          <w:rFonts w:ascii="VIC-Bold" w:eastAsia="Times New Roman" w:hAnsi="VIC-Bold" w:cs="Times New Roman"/>
          <w:b/>
          <w:bCs/>
          <w:color w:val="011A3C"/>
          <w:sz w:val="27"/>
          <w:szCs w:val="27"/>
          <w:lang w:val="en" w:eastAsia="en-AU"/>
        </w:rPr>
        <w:t>1</w:t>
      </w:r>
    </w:p>
    <w:p w14:paraId="178499A0" w14:textId="6A6784A8"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[(15% x Year 11 enrolments) x $150] + [(30% x Year 12 enrolments) x</w:t>
      </w:r>
      <w:r w:rsidR="0003626E">
        <w:rPr>
          <w:rFonts w:ascii="VIC-Regular" w:eastAsia="Times New Roman" w:hAnsi="VIC-Regular" w:cs="Times New Roman"/>
          <w:color w:val="011A3C"/>
          <w:sz w:val="24"/>
          <w:szCs w:val="24"/>
          <w:lang w:val="en" w:eastAsia="en-AU"/>
        </w:rPr>
        <w:t>$780</w:t>
      </w:r>
      <w:r w:rsidRPr="0021379B">
        <w:rPr>
          <w:rFonts w:ascii="VIC-Regular" w:eastAsia="Times New Roman" w:hAnsi="VIC-Regular" w:cs="Times New Roman"/>
          <w:color w:val="011A3C"/>
          <w:sz w:val="24"/>
          <w:szCs w:val="24"/>
          <w:lang w:val="en" w:eastAsia="en-AU"/>
        </w:rPr>
        <w:t>] + [Location index base + (Location index x Senior secondary enrol</w:t>
      </w:r>
      <w:r w:rsidR="009E32AE">
        <w:rPr>
          <w:rFonts w:ascii="VIC-Regular" w:eastAsia="Times New Roman" w:hAnsi="VIC-Regular" w:cs="Times New Roman"/>
          <w:color w:val="011A3C"/>
          <w:sz w:val="24"/>
          <w:szCs w:val="24"/>
          <w:lang w:val="en" w:eastAsia="en-AU"/>
        </w:rPr>
        <w:t>ments</w:t>
      </w:r>
      <w:r w:rsidRPr="0021379B">
        <w:rPr>
          <w:rFonts w:ascii="VIC-Regular" w:eastAsia="Times New Roman" w:hAnsi="VIC-Regular" w:cs="Times New Roman"/>
          <w:color w:val="011A3C"/>
          <w:sz w:val="24"/>
          <w:szCs w:val="24"/>
          <w:lang w:val="en" w:eastAsia="en-AU"/>
        </w:rPr>
        <w:t xml:space="preserve"> x Location index per student rate)]</w:t>
      </w:r>
    </w:p>
    <w:p w14:paraId="550640CD" w14:textId="0D527E30"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Please note that while this formula is used to allocate funding to schools, schools have discretion regarding how they use the funding to support students studying VCE </w:t>
      </w:r>
      <w:r w:rsidR="009E32AE">
        <w:rPr>
          <w:rFonts w:ascii="VIC-Regular" w:eastAsia="Times New Roman" w:hAnsi="VIC-Regular" w:cs="Times New Roman"/>
          <w:color w:val="011A3C"/>
          <w:sz w:val="24"/>
          <w:szCs w:val="24"/>
          <w:lang w:val="en" w:eastAsia="en-AU"/>
        </w:rPr>
        <w:t xml:space="preserve">Unit </w:t>
      </w:r>
      <w:r w:rsidRPr="0021379B">
        <w:rPr>
          <w:rFonts w:ascii="VIC-Regular" w:eastAsia="Times New Roman" w:hAnsi="VIC-Regular" w:cs="Times New Roman"/>
          <w:color w:val="011A3C"/>
          <w:sz w:val="24"/>
          <w:szCs w:val="24"/>
          <w:lang w:val="en" w:eastAsia="en-AU"/>
        </w:rPr>
        <w:t>3/4 to access VCE revision lectures</w:t>
      </w:r>
      <w:r>
        <w:rPr>
          <w:rFonts w:ascii="VIC-Regular" w:eastAsia="Times New Roman" w:hAnsi="VIC-Regular" w:cs="Times New Roman"/>
          <w:color w:val="011A3C"/>
          <w:sz w:val="24"/>
          <w:szCs w:val="24"/>
          <w:lang w:val="en" w:eastAsia="en-AU"/>
        </w:rPr>
        <w:t>.</w:t>
      </w:r>
      <w:r w:rsidR="009E32AE">
        <w:rPr>
          <w:rFonts w:ascii="VIC-Regular" w:eastAsia="Times New Roman" w:hAnsi="VIC-Regular" w:cs="Times New Roman"/>
          <w:color w:val="011A3C"/>
          <w:sz w:val="24"/>
          <w:szCs w:val="24"/>
          <w:lang w:val="en" w:eastAsia="en-AU"/>
        </w:rPr>
        <w:t>,</w:t>
      </w:r>
    </w:p>
    <w:p w14:paraId="3629D6C1"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7E208B38" w14:textId="7F1B4519"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For more information about the initiative contact </w:t>
      </w:r>
      <w:hyperlink r:id="rId111" w:history="1">
        <w:r w:rsidR="0003626E" w:rsidRPr="00FB5DB1">
          <w:rPr>
            <w:rStyle w:val="Hyperlink"/>
            <w:rFonts w:ascii="VIC-Regular" w:eastAsia="Times New Roman" w:hAnsi="VIC-Regular" w:cs="Times New Roman"/>
            <w:sz w:val="24"/>
            <w:szCs w:val="24"/>
            <w:lang w:val="en" w:eastAsia="en-AU"/>
          </w:rPr>
          <w:t>rural.regional.reform@education.vic.gov.au</w:t>
        </w:r>
      </w:hyperlink>
    </w:p>
    <w:p w14:paraId="4189CCC5" w14:textId="77777777" w:rsidR="00EA34C0" w:rsidRDefault="00EA34C0" w:rsidP="00EA34C0"/>
    <w:p w14:paraId="5E816AEB" w14:textId="77777777" w:rsidR="00EA34C0" w:rsidRDefault="00EA34C0" w:rsidP="00EA34C0">
      <w:r>
        <w:br w:type="page"/>
      </w:r>
    </w:p>
    <w:p w14:paraId="25EFB2E8" w14:textId="77777777" w:rsidR="00EA34C0" w:rsidRPr="0021379B" w:rsidRDefault="00EA34C0" w:rsidP="00842992">
      <w:pPr>
        <w:pStyle w:val="Heading2"/>
      </w:pPr>
      <w:bookmarkStart w:id="84" w:name="_Toc52796221"/>
      <w:bookmarkStart w:id="85" w:name="_Hlk48819430"/>
      <w:bookmarkEnd w:id="83"/>
      <w:r w:rsidRPr="0021379B">
        <w:lastRenderedPageBreak/>
        <w:t>Professional Learning Communities (PLC) Link Schools (Ref 122)</w:t>
      </w:r>
      <w:bookmarkEnd w:id="84"/>
    </w:p>
    <w:p w14:paraId="11476EE7"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PLC Link Schools are funded to engage in cross school collaboration activities to support the system-wide spreading of effective and impactful PLC practices.</w:t>
      </w:r>
    </w:p>
    <w:p w14:paraId="7C765AC2"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Eligibility:</w:t>
      </w:r>
    </w:p>
    <w:p w14:paraId="6384CDEE"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 xml:space="preserve">34 schools (distributed evenly across the state) have been selected as PLC Link Schools for 2021. This includes a combination of Primary, Secondary and Specialist. </w:t>
      </w:r>
    </w:p>
    <w:p w14:paraId="78DD1905"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 xml:space="preserve">The Business Unit have and will be undertaking the following measures to mitigate potential risks: </w:t>
      </w:r>
    </w:p>
    <w:p w14:paraId="5515D4CB"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Schools were selected based on a rigorous selection criterion</w:t>
      </w:r>
    </w:p>
    <w:p w14:paraId="419152E0"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Schools were endorsed for participation by their Senior Education Improvement Leader (SEIL), Executive Director School Improvement (EDSI) and Senior School Implementation Practice Lead (SSIPL)</w:t>
      </w:r>
    </w:p>
    <w:p w14:paraId="7F254120"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School implementation is monitored through a PLC Regional Manager</w:t>
      </w:r>
    </w:p>
    <w:p w14:paraId="53405C17"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Each school plans, implements and evaluates their activities using the PLC Link School Implementation Plan and Reporting template</w:t>
      </w:r>
    </w:p>
    <w:p w14:paraId="6719B4BF"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The Business Unit have developed a PLC Link School website and an operating handbook which includes guidelines to support school implementation</w:t>
      </w:r>
    </w:p>
    <w:p w14:paraId="6037EDC9"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The Business Unit engage schools in termly capacity building and monitoring activities so are in regular contact with the schools</w:t>
      </w:r>
    </w:p>
    <w:p w14:paraId="5CAA0F29"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Calculation:</w:t>
      </w:r>
    </w:p>
    <w:p w14:paraId="03147B41" w14:textId="393A4A6B"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 xml:space="preserve">Credit – </w:t>
      </w:r>
      <w:r w:rsidR="00E42675">
        <w:rPr>
          <w:rFonts w:ascii="VIC-Regular" w:eastAsia="Times New Roman" w:hAnsi="VIC-Regular" w:cs="Times New Roman"/>
          <w:color w:val="011A3C"/>
          <w:sz w:val="24"/>
          <w:szCs w:val="24"/>
          <w:lang w:val="en" w:eastAsia="en-AU"/>
        </w:rPr>
        <w:t xml:space="preserve">Approx. </w:t>
      </w:r>
      <w:r w:rsidRPr="00954B65">
        <w:rPr>
          <w:rFonts w:ascii="VIC-Regular" w:eastAsia="Times New Roman" w:hAnsi="VIC-Regular" w:cs="Times New Roman"/>
          <w:color w:val="011A3C"/>
          <w:sz w:val="24"/>
          <w:szCs w:val="24"/>
          <w:lang w:val="en" w:eastAsia="en-AU"/>
        </w:rPr>
        <w:t>0.6</w:t>
      </w:r>
      <w:r w:rsidR="00E42675">
        <w:rPr>
          <w:rFonts w:ascii="VIC-Regular" w:eastAsia="Times New Roman" w:hAnsi="VIC-Regular" w:cs="Times New Roman"/>
          <w:color w:val="011A3C"/>
          <w:sz w:val="24"/>
          <w:szCs w:val="24"/>
          <w:lang w:val="en" w:eastAsia="en-AU"/>
        </w:rPr>
        <w:t>5</w:t>
      </w:r>
      <w:r w:rsidRPr="00954B65">
        <w:rPr>
          <w:rFonts w:ascii="VIC-Regular" w:eastAsia="Times New Roman" w:hAnsi="VIC-Regular" w:cs="Times New Roman"/>
          <w:color w:val="011A3C"/>
          <w:sz w:val="24"/>
          <w:szCs w:val="24"/>
          <w:lang w:val="en" w:eastAsia="en-AU"/>
        </w:rPr>
        <w:t xml:space="preserve"> annual salary plus on-costs for 2021 school year</w:t>
      </w:r>
    </w:p>
    <w:p w14:paraId="43C91A8B"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Cash – standardized for all participating schools at $20,000 for the 2021 school year</w:t>
      </w:r>
    </w:p>
    <w:p w14:paraId="150C2D9A"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lastRenderedPageBreak/>
        <w:t>Rates:</w:t>
      </w:r>
    </w:p>
    <w:p w14:paraId="0F3E3508" w14:textId="77777777" w:rsidR="00954B65" w:rsidRPr="00954B65"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4B65">
        <w:rPr>
          <w:rFonts w:ascii="VIC-Regular" w:eastAsia="Times New Roman" w:hAnsi="VIC-Regular" w:cs="Times New Roman"/>
          <w:color w:val="011A3C"/>
          <w:sz w:val="24"/>
          <w:szCs w:val="24"/>
          <w:lang w:val="en" w:eastAsia="en-AU"/>
        </w:rPr>
        <w:t>Classroom Teacher Classification 2-6 annual salary $108,003.00 — pro-rata for 0.2 FTE.</w:t>
      </w:r>
    </w:p>
    <w:p w14:paraId="5159B8E7" w14:textId="02049512" w:rsidR="00341AB0" w:rsidRPr="0021379B" w:rsidRDefault="00341AB0" w:rsidP="00842992">
      <w:pPr>
        <w:pStyle w:val="Heading2"/>
      </w:pPr>
      <w:bookmarkStart w:id="86" w:name="_Toc52796222"/>
      <w:bookmarkEnd w:id="85"/>
      <w:r w:rsidRPr="00341AB0">
        <w:t>Transition Funding (Rural)</w:t>
      </w:r>
      <w:r w:rsidRPr="0021379B">
        <w:t xml:space="preserve"> (Ref 1</w:t>
      </w:r>
      <w:r>
        <w:t>26</w:t>
      </w:r>
      <w:r w:rsidRPr="0021379B">
        <w:t>)</w:t>
      </w:r>
      <w:bookmarkEnd w:id="86"/>
    </w:p>
    <w:p w14:paraId="6E467D8A" w14:textId="448A6B22" w:rsidR="00341AB0" w:rsidRPr="0021379B" w:rsidRDefault="00341AB0" w:rsidP="00341AB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41AB0">
        <w:rPr>
          <w:rFonts w:ascii="VIC-Regular" w:eastAsia="Times New Roman" w:hAnsi="VIC-Regular" w:cs="Times New Roman"/>
          <w:color w:val="011A3C"/>
          <w:sz w:val="24"/>
          <w:szCs w:val="24"/>
          <w:lang w:val="en" w:eastAsia="en-AU"/>
        </w:rPr>
        <w:t>Transition Funding (Rural) is intended to provide time-limited support to schools most affected by changes to Rural School Size Adjustment Factor (RSAF), Location Index Funding (LIF) and Country Area Program grant (CAP) eligibility as a result of updated geographic boundaries.</w:t>
      </w:r>
    </w:p>
    <w:p w14:paraId="214B170A" w14:textId="77777777" w:rsidR="00341AB0" w:rsidRPr="00541C39" w:rsidRDefault="00341AB0" w:rsidP="00341AB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and Eligibility</w:t>
      </w:r>
    </w:p>
    <w:p w14:paraId="5BA8E2CD" w14:textId="5E8B3071" w:rsidR="00341AB0" w:rsidRPr="00341AB0" w:rsidRDefault="00341AB0" w:rsidP="00341AB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41AB0">
        <w:rPr>
          <w:rFonts w:ascii="VIC-Regular" w:eastAsia="Times New Roman" w:hAnsi="VIC-Regular" w:cs="Times New Roman"/>
          <w:color w:val="011A3C"/>
          <w:sz w:val="24"/>
          <w:szCs w:val="24"/>
          <w:lang w:val="en" w:eastAsia="en-AU"/>
        </w:rPr>
        <w:t>Schools are eligible to receive Transition Funding (Rural) if they meet</w:t>
      </w:r>
      <w:r w:rsidR="00173FDD">
        <w:rPr>
          <w:rFonts w:ascii="VIC-Regular" w:eastAsia="Times New Roman" w:hAnsi="VIC-Regular" w:cs="Times New Roman"/>
          <w:color w:val="011A3C"/>
          <w:sz w:val="24"/>
          <w:szCs w:val="24"/>
          <w:lang w:val="en" w:eastAsia="en-AU"/>
        </w:rPr>
        <w:t xml:space="preserve"> all</w:t>
      </w:r>
      <w:r w:rsidRPr="00341AB0">
        <w:rPr>
          <w:rFonts w:ascii="VIC-Regular" w:eastAsia="Times New Roman" w:hAnsi="VIC-Regular" w:cs="Times New Roman"/>
          <w:color w:val="011A3C"/>
          <w:sz w:val="24"/>
          <w:szCs w:val="24"/>
          <w:lang w:val="en" w:eastAsia="en-AU"/>
        </w:rPr>
        <w:t xml:space="preserve"> the following eligibility criteria:</w:t>
      </w:r>
    </w:p>
    <w:p w14:paraId="7911CC4E" w14:textId="74665DD7" w:rsidR="00341AB0" w:rsidRPr="00A1372D" w:rsidRDefault="00341AB0" w:rsidP="00341AB0">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face a reduction in funding of greater than $25,000 in 2021 as a result of changes to RSAF, LIF and CAP eligibility from the use of updated geographic boundaries</w:t>
      </w:r>
    </w:p>
    <w:p w14:paraId="3AD7B383" w14:textId="09A4B39F" w:rsidR="00341AB0" w:rsidRPr="00A1372D" w:rsidRDefault="00341AB0" w:rsidP="00341AB0">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their current year SRP allocation is less than their 2020 SRP allocation</w:t>
      </w:r>
    </w:p>
    <w:p w14:paraId="58C51AEB" w14:textId="1B35A7D3" w:rsidR="00341AB0" w:rsidRPr="00A1372D" w:rsidRDefault="00341AB0" w:rsidP="00341AB0">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their SRP allocations after 2020 have not exceeded their 2020 SRP allocation</w:t>
      </w:r>
    </w:p>
    <w:p w14:paraId="57D4B431" w14:textId="77777777" w:rsidR="00173FDD" w:rsidRPr="00173FDD" w:rsidRDefault="00173FDD" w:rsidP="00173FD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73FDD">
        <w:rPr>
          <w:rFonts w:ascii="VIC-Regular" w:eastAsia="Times New Roman" w:hAnsi="VIC-Regular" w:cs="Times New Roman"/>
          <w:color w:val="011A3C"/>
          <w:sz w:val="24"/>
          <w:szCs w:val="24"/>
          <w:lang w:val="en" w:eastAsia="en-AU"/>
        </w:rPr>
        <w:t>Calculation and formula</w:t>
      </w:r>
    </w:p>
    <w:p w14:paraId="1611A873" w14:textId="305A16BC" w:rsidR="00173FDD" w:rsidRPr="00173FDD" w:rsidRDefault="00173FDD" w:rsidP="00173FD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73FDD">
        <w:rPr>
          <w:rFonts w:ascii="VIC-Regular" w:eastAsia="Times New Roman" w:hAnsi="VIC-Regular" w:cs="Times New Roman"/>
          <w:color w:val="011A3C"/>
          <w:sz w:val="24"/>
          <w:szCs w:val="24"/>
          <w:lang w:val="en" w:eastAsia="en-AU"/>
        </w:rPr>
        <w:t xml:space="preserve">Allocation = 2020 SRP </w:t>
      </w:r>
      <w:r w:rsidR="0090506F">
        <w:rPr>
          <w:rFonts w:ascii="VIC-Regular" w:eastAsia="Times New Roman" w:hAnsi="VIC-Regular" w:cs="Times New Roman"/>
          <w:color w:val="011A3C"/>
          <w:sz w:val="24"/>
          <w:szCs w:val="24"/>
          <w:lang w:val="en" w:eastAsia="en-AU"/>
        </w:rPr>
        <w:t xml:space="preserve">(campus level) </w:t>
      </w:r>
      <w:r w:rsidRPr="00173FDD">
        <w:rPr>
          <w:rFonts w:ascii="VIC-Regular" w:eastAsia="Times New Roman" w:hAnsi="VIC-Regular" w:cs="Times New Roman"/>
          <w:color w:val="011A3C"/>
          <w:sz w:val="24"/>
          <w:szCs w:val="24"/>
          <w:lang w:val="en" w:eastAsia="en-AU"/>
        </w:rPr>
        <w:t xml:space="preserve">allocation – current year SRP </w:t>
      </w:r>
      <w:r w:rsidR="0090506F">
        <w:rPr>
          <w:rFonts w:ascii="VIC-Regular" w:eastAsia="Times New Roman" w:hAnsi="VIC-Regular" w:cs="Times New Roman"/>
          <w:color w:val="011A3C"/>
          <w:sz w:val="24"/>
          <w:szCs w:val="24"/>
          <w:lang w:val="en" w:eastAsia="en-AU"/>
        </w:rPr>
        <w:t xml:space="preserve">(campus level) </w:t>
      </w:r>
      <w:r w:rsidRPr="00173FDD">
        <w:rPr>
          <w:rFonts w:ascii="VIC-Regular" w:eastAsia="Times New Roman" w:hAnsi="VIC-Regular" w:cs="Times New Roman"/>
          <w:color w:val="011A3C"/>
          <w:sz w:val="24"/>
          <w:szCs w:val="24"/>
          <w:lang w:val="en" w:eastAsia="en-AU"/>
        </w:rPr>
        <w:t>allocation</w:t>
      </w:r>
    </w:p>
    <w:p w14:paraId="3E7805CA" w14:textId="12C12782" w:rsidR="00173FDD" w:rsidRPr="00173FDD" w:rsidRDefault="00173FDD" w:rsidP="00173FD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73FDD">
        <w:rPr>
          <w:rFonts w:ascii="VIC-Regular" w:eastAsia="Times New Roman" w:hAnsi="VIC-Regular" w:cs="Times New Roman"/>
          <w:color w:val="011A3C"/>
          <w:sz w:val="24"/>
          <w:szCs w:val="24"/>
          <w:lang w:val="en" w:eastAsia="en-AU"/>
        </w:rPr>
        <w:t xml:space="preserve">Note: The Transition Funding (Rural) allocation for a school </w:t>
      </w:r>
      <w:r w:rsidR="007F7D21">
        <w:rPr>
          <w:rFonts w:ascii="VIC-Regular" w:eastAsia="Times New Roman" w:hAnsi="VIC-Regular" w:cs="Times New Roman"/>
          <w:color w:val="011A3C"/>
          <w:sz w:val="24"/>
          <w:szCs w:val="24"/>
          <w:lang w:val="en" w:eastAsia="en-AU"/>
        </w:rPr>
        <w:t xml:space="preserve">campus </w:t>
      </w:r>
      <w:r w:rsidRPr="00173FDD">
        <w:rPr>
          <w:rFonts w:ascii="VIC-Regular" w:eastAsia="Times New Roman" w:hAnsi="VIC-Regular" w:cs="Times New Roman"/>
          <w:color w:val="011A3C"/>
          <w:sz w:val="24"/>
          <w:szCs w:val="24"/>
          <w:lang w:val="en" w:eastAsia="en-AU"/>
        </w:rPr>
        <w:t>has a maximum defined by:</w:t>
      </w:r>
    </w:p>
    <w:p w14:paraId="1D82F133" w14:textId="44ED9B8F" w:rsidR="00173FDD" w:rsidRPr="00A1372D" w:rsidRDefault="00173FDD" w:rsidP="00173FDD">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the funding reduction in 2021 as a result of changes to RSAF, LIF and CAP eligibility from the use of updated geographic boundaries</w:t>
      </w:r>
    </w:p>
    <w:p w14:paraId="608CA5DE" w14:textId="3B1B4115" w:rsidR="00341AB0" w:rsidRPr="00A1372D" w:rsidRDefault="00173FDD" w:rsidP="00173FDD">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after 2021, the Transition Funding (Rural) allocation the school received in the previous year</w:t>
      </w:r>
    </w:p>
    <w:p w14:paraId="58BF9081" w14:textId="7EDD599D" w:rsidR="00341AB0" w:rsidRDefault="00341AB0" w:rsidP="00341AB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Eligible School Types:</w:t>
      </w:r>
    </w:p>
    <w:p w14:paraId="118B3D9E" w14:textId="6494A4CF" w:rsidR="00B25992" w:rsidRDefault="00173FDD" w:rsidP="00B25992">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As per </w:t>
      </w:r>
      <w:r w:rsidR="00B25992">
        <w:rPr>
          <w:rFonts w:ascii="VIC-Regular" w:eastAsia="Times New Roman" w:hAnsi="VIC-Regular" w:cs="Times New Roman"/>
          <w:color w:val="011A3C"/>
          <w:sz w:val="24"/>
          <w:szCs w:val="24"/>
          <w:lang w:val="en" w:eastAsia="en-AU"/>
        </w:rPr>
        <w:t>eligibility</w:t>
      </w:r>
      <w:r>
        <w:rPr>
          <w:rFonts w:ascii="VIC-Regular" w:eastAsia="Times New Roman" w:hAnsi="VIC-Regular" w:cs="Times New Roman"/>
          <w:color w:val="011A3C"/>
          <w:sz w:val="24"/>
          <w:szCs w:val="24"/>
          <w:lang w:val="en" w:eastAsia="en-AU"/>
        </w:rPr>
        <w:t xml:space="preserve"> </w:t>
      </w:r>
      <w:r w:rsidR="00B25992">
        <w:rPr>
          <w:rFonts w:ascii="VIC-Regular" w:eastAsia="Times New Roman" w:hAnsi="VIC-Regular" w:cs="Times New Roman"/>
          <w:color w:val="011A3C"/>
          <w:sz w:val="24"/>
          <w:szCs w:val="24"/>
          <w:lang w:val="en" w:eastAsia="en-AU"/>
        </w:rPr>
        <w:t>for:</w:t>
      </w:r>
    </w:p>
    <w:p w14:paraId="7209F32B" w14:textId="77777777" w:rsidR="00B25992" w:rsidRPr="00A1372D" w:rsidRDefault="00B25992" w:rsidP="00B25992">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 xml:space="preserve">Rural School Size Adjustment Factor (RSAF), </w:t>
      </w:r>
    </w:p>
    <w:p w14:paraId="7EC6FB9C" w14:textId="77777777" w:rsidR="00B25992" w:rsidRPr="00A1372D" w:rsidRDefault="00B25992" w:rsidP="00B25992">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lastRenderedPageBreak/>
        <w:t xml:space="preserve">Location Index Funding (LIF) and </w:t>
      </w:r>
    </w:p>
    <w:p w14:paraId="7094626E" w14:textId="02C29B28" w:rsidR="00341AB0" w:rsidRPr="00A1372D" w:rsidRDefault="00B25992" w:rsidP="00B25992">
      <w:pPr>
        <w:pStyle w:val="ListParagraph"/>
        <w:numPr>
          <w:ilvl w:val="0"/>
          <w:numId w:val="111"/>
        </w:numPr>
        <w:spacing w:after="0" w:line="240" w:lineRule="auto"/>
        <w:contextualSpacing w:val="0"/>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Country Area Program grant (CAP)</w:t>
      </w:r>
    </w:p>
    <w:p w14:paraId="606BA4B3" w14:textId="1C9A5B2B" w:rsidR="00341AB0" w:rsidRDefault="00341AB0" w:rsidP="009144B7"/>
    <w:p w14:paraId="68A848ED" w14:textId="65407FFC" w:rsidR="00341AB0" w:rsidRPr="00A1372D" w:rsidRDefault="00F640B5" w:rsidP="009144B7">
      <w:pPr>
        <w:rPr>
          <w:rFonts w:ascii="VIC-Regular" w:eastAsia="Times New Roman" w:hAnsi="VIC-Regular" w:cs="Times New Roman"/>
          <w:color w:val="011A3C"/>
          <w:sz w:val="24"/>
          <w:szCs w:val="24"/>
          <w:lang w:val="en" w:eastAsia="en-AU"/>
        </w:rPr>
      </w:pPr>
      <w:r w:rsidRPr="00A1372D">
        <w:rPr>
          <w:rFonts w:ascii="VIC-Regular" w:eastAsia="Times New Roman" w:hAnsi="VIC-Regular" w:cs="Times New Roman"/>
          <w:color w:val="011A3C"/>
          <w:sz w:val="24"/>
          <w:szCs w:val="24"/>
          <w:lang w:val="en" w:eastAsia="en-AU"/>
        </w:rPr>
        <w:t>Funding will be calculated at the Indicative, Confirmed and Revised cycles, funding is allocated through a mix of credit and cash funding.</w:t>
      </w:r>
    </w:p>
    <w:p w14:paraId="341CF97F" w14:textId="4B3AD8EE" w:rsidR="00341AB0" w:rsidRDefault="004D1CF3" w:rsidP="009144B7">
      <w:r>
        <w:br w:type="page"/>
      </w:r>
    </w:p>
    <w:p w14:paraId="4A54732A" w14:textId="77777777" w:rsidR="00C53D64" w:rsidRPr="009144B7" w:rsidRDefault="00C53D64" w:rsidP="00B449D7">
      <w:pPr>
        <w:pStyle w:val="Heading1"/>
      </w:pPr>
      <w:bookmarkStart w:id="87" w:name="_Toc52796223"/>
      <w:r w:rsidRPr="009144B7">
        <w:lastRenderedPageBreak/>
        <w:t xml:space="preserve">Student Resource Package </w:t>
      </w:r>
      <w:r w:rsidRPr="009144B7">
        <w:rPr>
          <w:rFonts w:hint="eastAsia"/>
        </w:rPr>
        <w:t>—</w:t>
      </w:r>
      <w:r w:rsidRPr="009144B7">
        <w:t xml:space="preserve"> Managing the Budget</w:t>
      </w:r>
      <w:bookmarkEnd w:id="87"/>
    </w:p>
    <w:p w14:paraId="5399E2D7" w14:textId="77777777" w:rsidR="00C53D64" w:rsidRPr="004216E8" w:rsidRDefault="00C53D64" w:rsidP="004216E8">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4216E8">
        <w:rPr>
          <w:rFonts w:ascii="VIC-Bold" w:eastAsia="Times New Roman" w:hAnsi="VIC-Bold" w:cs="Times New Roman"/>
          <w:color w:val="323E4F" w:themeColor="text2" w:themeShade="BF"/>
          <w:sz w:val="36"/>
          <w:szCs w:val="36"/>
          <w:lang w:val="en" w:eastAsia="en-AU"/>
        </w:rPr>
        <w:t>Policy</w:t>
      </w:r>
    </w:p>
    <w:p w14:paraId="51A03BAE"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policy provides schools with information about managing their budgets.</w:t>
      </w:r>
    </w:p>
    <w:p w14:paraId="758812F8" w14:textId="77777777" w:rsidR="004216E8" w:rsidRDefault="00C53D64" w:rsidP="004216E8">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4216E8">
        <w:rPr>
          <w:rFonts w:ascii="VIC-Bold" w:eastAsia="Times New Roman" w:hAnsi="VIC-Bold" w:cs="Times New Roman"/>
          <w:color w:val="323E4F" w:themeColor="text2" w:themeShade="BF"/>
          <w:sz w:val="36"/>
          <w:szCs w:val="36"/>
          <w:lang w:val="en" w:eastAsia="en-AU"/>
        </w:rPr>
        <w:t>Details</w:t>
      </w:r>
    </w:p>
    <w:p w14:paraId="265994EC" w14:textId="1BD28013" w:rsidR="00C53D64" w:rsidRPr="004216E8" w:rsidRDefault="00C53D64" w:rsidP="004216E8">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Pr>
          <w:rFonts w:ascii="VIC-Regular" w:hAnsi="VIC-Regular"/>
          <w:color w:val="011A3C"/>
          <w:lang w:val="en"/>
        </w:rPr>
        <w:t>This Managing the Budget information outlines some further requirements for schools in managing their budget and provides advice and further detail regarding specific aspects of the SRP and staffing costs.</w:t>
      </w:r>
    </w:p>
    <w:p w14:paraId="55B2F1E8" w14:textId="644E02E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The </w:t>
      </w:r>
      <w:r w:rsidR="00CA0A0C" w:rsidRPr="00B81AAF">
        <w:rPr>
          <w:rFonts w:ascii="VIC-Regular" w:hAnsi="VIC-Regular"/>
          <w:b/>
          <w:bCs/>
          <w:color w:val="011A3C"/>
          <w:lang w:val="en"/>
        </w:rPr>
        <w:t>Managing the budget</w:t>
      </w:r>
      <w:r w:rsidR="00CA0A0C">
        <w:rPr>
          <w:rFonts w:ascii="VIC-Regular" w:hAnsi="VIC-Regular"/>
          <w:color w:val="011A3C"/>
          <w:lang w:val="en"/>
        </w:rPr>
        <w:t xml:space="preserve"> section</w:t>
      </w:r>
      <w:r>
        <w:rPr>
          <w:rFonts w:ascii="VIC-Regular" w:hAnsi="VIC-Regular"/>
          <w:color w:val="011A3C"/>
          <w:lang w:val="en"/>
        </w:rPr>
        <w:t xml:space="preserve"> provides information on the following categories:</w:t>
      </w:r>
    </w:p>
    <w:p w14:paraId="4CF738C2"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2" w:history="1">
        <w:r w:rsidR="00C53D64">
          <w:rPr>
            <w:rStyle w:val="rpl-text-label2"/>
            <w:rFonts w:ascii="VIC-Regular" w:hAnsi="VIC-Regular"/>
            <w:lang w:val="en"/>
          </w:rPr>
          <w:t>Salary and Related Expenditure</w:t>
        </w:r>
      </w:hyperlink>
      <w:r w:rsidR="00C53D64">
        <w:rPr>
          <w:rFonts w:ascii="VIC-Regular" w:hAnsi="VIC-Regular"/>
          <w:color w:val="011A3C"/>
          <w:lang w:val="en"/>
        </w:rPr>
        <w:t xml:space="preserve"> — Reports and processes to assist schools with the SRP Budget Management</w:t>
      </w:r>
    </w:p>
    <w:p w14:paraId="43493E65"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3" w:history="1">
        <w:r w:rsidR="00C53D64">
          <w:rPr>
            <w:rStyle w:val="rpl-text-label2"/>
            <w:rFonts w:ascii="VIC-Regular" w:hAnsi="VIC-Regular"/>
            <w:lang w:val="en"/>
          </w:rPr>
          <w:t>Relief Staffing</w:t>
        </w:r>
      </w:hyperlink>
      <w:r w:rsidR="00C53D64">
        <w:rPr>
          <w:rFonts w:ascii="VIC-Regular" w:hAnsi="VIC-Regular"/>
          <w:color w:val="011A3C"/>
          <w:lang w:val="en"/>
        </w:rPr>
        <w:t xml:space="preserve"> — Issues relating to teacher and other staff leave management</w:t>
      </w:r>
    </w:p>
    <w:p w14:paraId="6BEB9350"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4" w:history="1">
        <w:r w:rsidR="00C53D64">
          <w:rPr>
            <w:rStyle w:val="rpl-text-label2"/>
            <w:rFonts w:ascii="VIC-Regular" w:hAnsi="VIC-Regular"/>
            <w:lang w:val="en"/>
          </w:rPr>
          <w:t>Surplus/Deficit</w:t>
        </w:r>
      </w:hyperlink>
      <w:r w:rsidR="00C53D64">
        <w:rPr>
          <w:rFonts w:ascii="VIC-Regular" w:hAnsi="VIC-Regular"/>
          <w:color w:val="011A3C"/>
          <w:lang w:val="en"/>
        </w:rPr>
        <w:t xml:space="preserve"> — Credit financial position of a school</w:t>
      </w:r>
    </w:p>
    <w:p w14:paraId="477F501C"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5" w:history="1">
        <w:r w:rsidR="00C53D64">
          <w:rPr>
            <w:rStyle w:val="rpl-text-label2"/>
            <w:rFonts w:ascii="VIC-Regular" w:hAnsi="VIC-Regular"/>
            <w:lang w:val="en"/>
          </w:rPr>
          <w:t>Reports</w:t>
        </w:r>
      </w:hyperlink>
      <w:r w:rsidR="00C53D64">
        <w:rPr>
          <w:rFonts w:ascii="VIC-Regular" w:hAnsi="VIC-Regular"/>
          <w:color w:val="011A3C"/>
          <w:lang w:val="en"/>
        </w:rPr>
        <w:t xml:space="preserve"> — Some of the key SRP reports</w:t>
      </w:r>
    </w:p>
    <w:p w14:paraId="7A31194F"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6" w:history="1">
        <w:r w:rsidR="00C53D64">
          <w:rPr>
            <w:rStyle w:val="rpl-text-label2"/>
            <w:rFonts w:ascii="VIC-Regular" w:hAnsi="VIC-Regular"/>
            <w:lang w:val="en"/>
          </w:rPr>
          <w:t>Planning</w:t>
        </w:r>
      </w:hyperlink>
      <w:r w:rsidR="00C53D64">
        <w:rPr>
          <w:rFonts w:ascii="VIC-Regular" w:hAnsi="VIC-Regular"/>
          <w:color w:val="011A3C"/>
          <w:lang w:val="en"/>
        </w:rPr>
        <w:t xml:space="preserve"> — SRP Modelling tool for school</w:t>
      </w:r>
    </w:p>
    <w:p w14:paraId="48A4F56B"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7" w:history="1">
        <w:r w:rsidR="00C53D64">
          <w:rPr>
            <w:rStyle w:val="rpl-text-label2"/>
            <w:rFonts w:ascii="VIC-Regular" w:hAnsi="VIC-Regular"/>
            <w:lang w:val="en"/>
          </w:rPr>
          <w:t>Reconciliation</w:t>
        </w:r>
      </w:hyperlink>
      <w:r w:rsidR="00C53D64">
        <w:rPr>
          <w:rFonts w:ascii="VIC-Regular" w:hAnsi="VIC-Regular"/>
          <w:color w:val="011A3C"/>
          <w:lang w:val="en"/>
        </w:rPr>
        <w:t xml:space="preserve"> — The annual reconciliation cycle used to finalise the position of a school at the end of a budget year.</w:t>
      </w:r>
    </w:p>
    <w:p w14:paraId="7B67DE50"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8" w:history="1">
        <w:r w:rsidR="00C53D64">
          <w:rPr>
            <w:rStyle w:val="rpl-text-label2"/>
            <w:rFonts w:ascii="VIC-Regular" w:hAnsi="VIC-Regular"/>
            <w:lang w:val="en"/>
          </w:rPr>
          <w:t>Cash</w:t>
        </w:r>
      </w:hyperlink>
      <w:r w:rsidR="00C53D64">
        <w:rPr>
          <w:rFonts w:ascii="VIC-Regular" w:hAnsi="VIC-Regular"/>
          <w:color w:val="011A3C"/>
          <w:lang w:val="en"/>
        </w:rPr>
        <w:t> — Quarterly Cash Grants, Offline Payments and other information about Cash Payments</w:t>
      </w:r>
    </w:p>
    <w:p w14:paraId="5AC89819" w14:textId="77777777"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19" w:history="1">
        <w:r w:rsidR="00C53D64">
          <w:rPr>
            <w:rStyle w:val="rpl-text-label2"/>
            <w:rFonts w:ascii="VIC-Regular" w:hAnsi="VIC-Regular"/>
            <w:lang w:val="en"/>
          </w:rPr>
          <w:t>Deficit Management and Workforce Bridging</w:t>
        </w:r>
      </w:hyperlink>
      <w:r w:rsidR="00C53D64">
        <w:rPr>
          <w:rFonts w:ascii="VIC-Regular" w:hAnsi="VIC-Regular"/>
          <w:color w:val="011A3C"/>
          <w:lang w:val="en"/>
        </w:rPr>
        <w:t xml:space="preserve"> — Assistance provisions for schools with Deficit or Workforce Management Issues</w:t>
      </w:r>
    </w:p>
    <w:p w14:paraId="5C7FECCB" w14:textId="1FD250A1" w:rsidR="00C53D64" w:rsidRDefault="007E3659" w:rsidP="00CA0A0C">
      <w:pPr>
        <w:numPr>
          <w:ilvl w:val="0"/>
          <w:numId w:val="161"/>
        </w:numPr>
        <w:spacing w:before="100" w:beforeAutospacing="1" w:after="100" w:afterAutospacing="1" w:line="360" w:lineRule="atLeast"/>
        <w:rPr>
          <w:rFonts w:ascii="VIC-Regular" w:hAnsi="VIC-Regular"/>
          <w:color w:val="011A3C"/>
          <w:lang w:val="en"/>
        </w:rPr>
      </w:pPr>
      <w:hyperlink r:id="rId120" w:history="1">
        <w:r w:rsidR="00C53D64">
          <w:rPr>
            <w:rStyle w:val="rpl-text-label2"/>
            <w:rFonts w:ascii="VIC-Regular" w:hAnsi="VIC-Regular"/>
            <w:lang w:val="en"/>
          </w:rPr>
          <w:t>Principal Classification Budget</w:t>
        </w:r>
      </w:hyperlink>
      <w:r w:rsidR="00C53D64">
        <w:rPr>
          <w:rFonts w:ascii="VIC-Regular" w:hAnsi="VIC-Regular"/>
          <w:color w:val="011A3C"/>
          <w:lang w:val="en"/>
        </w:rPr>
        <w:t xml:space="preserve"> — Remuneration range for each principal position</w:t>
      </w:r>
    </w:p>
    <w:p w14:paraId="626BFBDD" w14:textId="07D49DCE" w:rsidR="00CA0A0C" w:rsidRDefault="00CA0A0C" w:rsidP="00CA0A0C">
      <w:pPr>
        <w:numPr>
          <w:ilvl w:val="0"/>
          <w:numId w:val="161"/>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Enrolment Variation Funding</w:t>
      </w:r>
    </w:p>
    <w:p w14:paraId="32AC0F4C"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In particular, the information in the guidance on how to manage the budget sets out the following requirements for schools.</w:t>
      </w:r>
    </w:p>
    <w:p w14:paraId="0DD3B180" w14:textId="77777777" w:rsidR="00C53D64" w:rsidRPr="009144B7" w:rsidRDefault="00C53D64" w:rsidP="00C53D64">
      <w:pPr>
        <w:pStyle w:val="Heading3"/>
        <w:rPr>
          <w:rStyle w:val="Strong"/>
        </w:rPr>
      </w:pPr>
      <w:r w:rsidRPr="009144B7">
        <w:rPr>
          <w:rStyle w:val="Strong"/>
        </w:rPr>
        <w:lastRenderedPageBreak/>
        <w:t>Workforce planning</w:t>
      </w:r>
    </w:p>
    <w:p w14:paraId="0D4D3BA4"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 xml:space="preserve">All schools are expected to have planning strategies in place to manage their workforce requirements within available funds, including adequate provision for relief staffing. </w:t>
      </w:r>
    </w:p>
    <w:p w14:paraId="66F5C8A2" w14:textId="77777777" w:rsidR="00C53D64" w:rsidRDefault="00C53D64" w:rsidP="00CA0A0C">
      <w:pPr>
        <w:numPr>
          <w:ilvl w:val="1"/>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Casual relief teaching staff are to be provided only when face-to-face teaching is required and where no internal resource is available.</w:t>
      </w:r>
    </w:p>
    <w:p w14:paraId="7E1EE8AE" w14:textId="77777777" w:rsidR="00C53D64" w:rsidRDefault="00C53D64" w:rsidP="00CA0A0C">
      <w:pPr>
        <w:numPr>
          <w:ilvl w:val="1"/>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School workforce plans must include contingency planning to deal with changing circumstances, including factors such as enrolment variations and changing workforce commitments.</w:t>
      </w:r>
    </w:p>
    <w:p w14:paraId="02D168C1"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Schools participating in reorganisations are expected to undertake workforce planning within their overall budget allocation while giving due consideration to clauses contained in the Department's </w:t>
      </w:r>
      <w:hyperlink r:id="rId121" w:history="1">
        <w:r>
          <w:rPr>
            <w:rStyle w:val="rpl-text-label2"/>
            <w:rFonts w:ascii="VIC-Regular" w:hAnsi="VIC-Regular"/>
            <w:lang w:val="en"/>
          </w:rPr>
          <w:t xml:space="preserve">Human Resources School Merger or Closure — </w:t>
        </w:r>
        <w:r>
          <w:rPr>
            <w:rStyle w:val="rpl-text-icongroup1"/>
            <w:rFonts w:ascii="VIC-Regular" w:hAnsi="VIC-Regular"/>
            <w:color w:val="011A3C"/>
            <w:lang w:val="en"/>
          </w:rPr>
          <w:t>Staffing Guide</w:t>
        </w:r>
      </w:hyperlink>
      <w:r>
        <w:rPr>
          <w:rFonts w:ascii="VIC-Regular" w:hAnsi="VIC-Regular"/>
          <w:color w:val="011A3C"/>
          <w:lang w:val="en"/>
        </w:rPr>
        <w:t>.</w:t>
      </w:r>
    </w:p>
    <w:p w14:paraId="36AC6C3C"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Casual Relief policy.</w:t>
      </w:r>
    </w:p>
    <w:p w14:paraId="0FC11584"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 school is responsible for administering pay and workplace entitlements for the period of employment, as recorded in eduPay, undertaken at that school.</w:t>
      </w:r>
    </w:p>
    <w:p w14:paraId="7D6319A7" w14:textId="77777777" w:rsidR="00C53D64" w:rsidRPr="009144B7" w:rsidRDefault="00C53D64" w:rsidP="00C53D64">
      <w:pPr>
        <w:pStyle w:val="Heading3"/>
        <w:rPr>
          <w:rFonts w:ascii="VIC-Bold" w:hAnsi="VIC-Bold"/>
          <w:b/>
          <w:bCs/>
          <w:color w:val="011A3C"/>
          <w:lang w:val="en"/>
        </w:rPr>
      </w:pPr>
      <w:r w:rsidRPr="009144B7">
        <w:rPr>
          <w:b/>
          <w:bCs/>
          <w:color w:val="011A3C"/>
          <w:lang w:val="en"/>
        </w:rPr>
        <w:t>Budgeting requirements</w:t>
      </w:r>
    </w:p>
    <w:p w14:paraId="5DDC1E6B" w14:textId="77777777" w:rsidR="00C53D64" w:rsidRDefault="00C53D64" w:rsidP="00CA0A0C">
      <w:pPr>
        <w:numPr>
          <w:ilvl w:val="0"/>
          <w:numId w:val="16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Actual salary costs on eduPay are charged to schools each year according to the actual number of working days in the year. Schools must take into account the minor variations in working days as part of their normal budget planning.</w:t>
      </w:r>
    </w:p>
    <w:p w14:paraId="6087C75C" w14:textId="77777777" w:rsidR="00C53D64" w:rsidRDefault="007E3659" w:rsidP="00CA0A0C">
      <w:pPr>
        <w:numPr>
          <w:ilvl w:val="0"/>
          <w:numId w:val="163"/>
        </w:numPr>
        <w:spacing w:before="100" w:beforeAutospacing="1" w:after="100" w:afterAutospacing="1" w:line="360" w:lineRule="atLeast"/>
        <w:rPr>
          <w:rFonts w:ascii="VIC-Regular" w:hAnsi="VIC-Regular"/>
          <w:color w:val="011A3C"/>
          <w:lang w:val="en"/>
        </w:rPr>
      </w:pPr>
      <w:hyperlink r:id="rId122" w:history="1">
        <w:r w:rsidR="00C53D64">
          <w:rPr>
            <w:rStyle w:val="rpl-text-label2"/>
            <w:rFonts w:ascii="VIC-Regular" w:hAnsi="VIC-Regular"/>
            <w:lang w:val="en"/>
          </w:rPr>
          <w:t>Credit/Cash Transfer</w:t>
        </w:r>
      </w:hyperlink>
      <w:r w:rsidR="00C53D64">
        <w:rPr>
          <w:rFonts w:ascii="VIC-Regular" w:hAnsi="VIC-Regular"/>
          <w:color w:val="011A3C"/>
          <w:lang w:val="en"/>
        </w:rPr>
        <w:t xml:space="preserve"> (CCT) requests must be based on the annual amount of the transfer (not monthly or quarterly) except where the transfer relates to a surplus brought forward from the previous year.</w:t>
      </w:r>
    </w:p>
    <w:p w14:paraId="53F8021E" w14:textId="77777777" w:rsidR="00C53D64" w:rsidRDefault="00C53D64" w:rsidP="00CA0A0C">
      <w:pPr>
        <w:numPr>
          <w:ilvl w:val="0"/>
          <w:numId w:val="16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All cash payments must be recorded appropriately in CASES21 Finance using the general ledger and sub-program codes provided in the EFT remittance advice descriptions.</w:t>
      </w:r>
    </w:p>
    <w:p w14:paraId="1BE577EE" w14:textId="210C7ADD" w:rsidR="002B7177" w:rsidRDefault="00C53D64" w:rsidP="00960A69">
      <w:pPr>
        <w:numPr>
          <w:ilvl w:val="0"/>
          <w:numId w:val="163"/>
        </w:numPr>
        <w:spacing w:before="100" w:beforeAutospacing="1" w:after="100" w:afterAutospacing="1" w:line="360" w:lineRule="atLeast"/>
      </w:pPr>
      <w:r w:rsidRPr="004D1CF3">
        <w:rPr>
          <w:rFonts w:ascii="VIC-Regular" w:hAnsi="VIC-Regular"/>
          <w:color w:val="011A3C"/>
          <w:lang w:val="en"/>
        </w:rPr>
        <w:t>Where there is insufficient overall credit surplus in the SRP to employ relief, schools must have a deficit management strategy in place to reduce the deficit and to meet relief contingencies, having a view to using both the credit and cash components of the SRP.</w:t>
      </w:r>
      <w:r w:rsidR="002B7177">
        <w:br w:type="page"/>
      </w:r>
    </w:p>
    <w:p w14:paraId="17B84AD2" w14:textId="77777777" w:rsidR="0096466B" w:rsidRPr="00DE5882" w:rsidRDefault="0096466B" w:rsidP="00842992">
      <w:pPr>
        <w:pStyle w:val="Heading2"/>
      </w:pPr>
      <w:bookmarkStart w:id="88" w:name="_Toc52796224"/>
      <w:r w:rsidRPr="00DE5882">
        <w:lastRenderedPageBreak/>
        <w:t>Salary and Related Expenditure</w:t>
      </w:r>
      <w:bookmarkEnd w:id="88"/>
    </w:p>
    <w:p w14:paraId="141B07B3"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and related expenditure and the Student Resource Package (SRP). Includes guidance on transfers between schools, resigning and fixed-term teaching staff, higher duties and travel allowances.</w:t>
      </w:r>
    </w:p>
    <w:p w14:paraId="6C032B5A"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Actuals</w:t>
      </w:r>
    </w:p>
    <w:p w14:paraId="50A306EB"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Projections</w:t>
      </w:r>
    </w:p>
    <w:p w14:paraId="194D3C84"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Transfers between schools (including transfers over vacation periods)</w:t>
      </w:r>
    </w:p>
    <w:p w14:paraId="431750F2"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Resigning teaching staff (including vacation periods)</w:t>
      </w:r>
    </w:p>
    <w:p w14:paraId="70892835"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Fixed-term teaching staff (including vacation periods)</w:t>
      </w:r>
    </w:p>
    <w:p w14:paraId="58D8605B"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Higher duties (including vacation periods)</w:t>
      </w:r>
    </w:p>
    <w:p w14:paraId="7FF55A7F"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mischarges</w:t>
      </w:r>
    </w:p>
    <w:p w14:paraId="029DB95E"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On-costs: SRP and student support services</w:t>
      </w:r>
    </w:p>
    <w:p w14:paraId="77DD0F1B"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Travel allowance</w:t>
      </w:r>
    </w:p>
    <w:p w14:paraId="76997558"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Principal salary charge</w:t>
      </w:r>
    </w:p>
    <w:p w14:paraId="7837AF85" w14:textId="77777777" w:rsidR="0096466B" w:rsidRPr="009144B7"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Actuals</w:t>
      </w:r>
    </w:p>
    <w:p w14:paraId="0B557994"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charges to schools are based on actual payroll debits for individual staff as reflected on eduPay. This includes the actual cost of annual leave loading and all allowances, such as higher duties and special payments.</w:t>
      </w:r>
    </w:p>
    <w:p w14:paraId="6925EAC5"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Staff may choose to package part of their salary in the form of non-cash benefits. Therefore, the charge to the school for an individual teacher may be a regular salary, or a combination of salary and non-cash benefits.</w:t>
      </w:r>
    </w:p>
    <w:p w14:paraId="6EAC76C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Schools are liable for the entire employment period of a staff member at that school, as defined in eduPay.</w:t>
      </w:r>
    </w:p>
    <w:p w14:paraId="6954DF98" w14:textId="77777777" w:rsidR="0096466B" w:rsidRPr="009144B7"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Projections</w:t>
      </w:r>
    </w:p>
    <w:p w14:paraId="7812B271" w14:textId="47BDC431" w:rsidR="0096466B"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The SRP </w:t>
      </w:r>
      <w:hyperlink r:id="rId123" w:history="1">
        <w:r w:rsidRPr="00DE5882">
          <w:rPr>
            <w:rFonts w:ascii="VIC-Regular" w:eastAsia="Times New Roman" w:hAnsi="VIC-Regular" w:cs="Arial"/>
            <w:color w:val="011A3C"/>
            <w:sz w:val="24"/>
            <w:szCs w:val="24"/>
            <w:lang w:val="en" w:eastAsia="en-AU"/>
          </w:rPr>
          <w:t>School Budget Management Report</w:t>
        </w:r>
      </w:hyperlink>
      <w:r w:rsidRPr="00DE5882">
        <w:rPr>
          <w:rFonts w:ascii="VIC-Regular" w:eastAsia="Times New Roman" w:hAnsi="VIC-Regular" w:cs="Arial"/>
          <w:color w:val="011A3C"/>
          <w:sz w:val="24"/>
          <w:szCs w:val="24"/>
          <w:lang w:val="en" w:eastAsia="en-AU"/>
        </w:rPr>
        <w:t xml:space="preserve"> includes an estimate of expenditure for the full year, using the total of year-to-date charges plus a projection to 31 December. To facilitate this, salary figures for future pay periods are generated for each employee based on the latest payroll data.</w:t>
      </w:r>
    </w:p>
    <w:p w14:paraId="00548C4B" w14:textId="77777777" w:rsidR="0096466B" w:rsidRPr="009144B7" w:rsidRDefault="0096466B" w:rsidP="004D1CF3">
      <w:pPr>
        <w:keepNext/>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lastRenderedPageBreak/>
        <w:t>Transfers between schools (including transfers over vacation periods)</w:t>
      </w:r>
    </w:p>
    <w:p w14:paraId="4696DAC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Schools are liable for the charging of an ongoing staff member from the date of transfer until the return to base-school date in eduPay. The actual transfer date should be entered in accordance with eduPay guidelines and should be consistent with </w:t>
      </w:r>
      <w:hyperlink r:id="rId124" w:history="1">
        <w:r w:rsidRPr="00DE5882">
          <w:rPr>
            <w:rFonts w:ascii="VIC-Regular" w:eastAsia="Times New Roman" w:hAnsi="VIC-Regular" w:cs="Arial"/>
            <w:color w:val="011A3C"/>
            <w:sz w:val="24"/>
            <w:szCs w:val="24"/>
            <w:lang w:val="en" w:eastAsia="en-AU"/>
          </w:rPr>
          <w:t>Recruitment in Schools</w:t>
        </w:r>
      </w:hyperlink>
      <w:r w:rsidRPr="00DE5882">
        <w:rPr>
          <w:rFonts w:ascii="VIC-Regular" w:eastAsia="Times New Roman" w:hAnsi="VIC-Regular" w:cs="Arial"/>
          <w:color w:val="011A3C"/>
          <w:sz w:val="24"/>
          <w:szCs w:val="24"/>
          <w:lang w:val="en" w:eastAsia="en-AU"/>
        </w:rPr>
        <w:t>.</w:t>
      </w:r>
    </w:p>
    <w:p w14:paraId="24550E9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b/>
          <w:bCs/>
          <w:color w:val="011A3C"/>
          <w:sz w:val="24"/>
          <w:szCs w:val="24"/>
          <w:lang w:val="en" w:eastAsia="en-AU"/>
        </w:rPr>
        <w:t>Note:</w:t>
      </w:r>
      <w:r w:rsidRPr="00DE5882">
        <w:rPr>
          <w:rFonts w:ascii="VIC-Regular" w:eastAsia="Times New Roman" w:hAnsi="VIC-Regular" w:cs="Arial"/>
          <w:color w:val="011A3C"/>
          <w:sz w:val="24"/>
          <w:szCs w:val="24"/>
          <w:lang w:val="en" w:eastAsia="en-AU"/>
        </w:rPr>
        <w:t xml:space="preserve"> Principals of both schools are responsible for confirming the start and end date prior to the commencement of a transfer. In most cases this would be at the start of a term/school year and returning at the start of a term /school year to ensure that charging of vacation periods is against the correct school</w:t>
      </w:r>
    </w:p>
    <w:p w14:paraId="6E1CB0F5" w14:textId="77777777" w:rsidR="0096466B" w:rsidRPr="009144B7" w:rsidRDefault="0096466B" w:rsidP="009144B7">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 xml:space="preserve">Example 1 </w:t>
      </w:r>
      <w:r w:rsidRPr="009144B7">
        <w:rPr>
          <w:rFonts w:ascii="VIC-Bold" w:eastAsia="Times New Roman" w:hAnsi="VIC-Bold" w:cs="Arial" w:hint="eastAsia"/>
          <w:b/>
          <w:bCs/>
          <w:color w:val="011A3C"/>
          <w:sz w:val="27"/>
          <w:szCs w:val="27"/>
          <w:lang w:val="en" w:eastAsia="en-AU"/>
        </w:rPr>
        <w:t>—</w:t>
      </w:r>
      <w:r w:rsidRPr="009144B7">
        <w:rPr>
          <w:rFonts w:ascii="VIC-Bold" w:eastAsia="Times New Roman" w:hAnsi="VIC-Bold" w:cs="Arial"/>
          <w:b/>
          <w:bCs/>
          <w:color w:val="011A3C"/>
          <w:sz w:val="27"/>
          <w:szCs w:val="27"/>
          <w:lang w:val="en" w:eastAsia="en-AU"/>
        </w:rPr>
        <w:t xml:space="preserve"> End of year vacation</w:t>
      </w:r>
    </w:p>
    <w:p w14:paraId="5DBD908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John Teacher is transferring from Orange Primary School to Blue Primary School to fill a one year fixed-term contract. Start and end dates have been agreed by both principals and entered into eduPay. Based on the eduPay data, John’s salary is therefore charged as follows:</w:t>
      </w:r>
    </w:p>
    <w:p w14:paraId="4C5D751C" w14:textId="690124A6" w:rsidR="0096466B" w:rsidRPr="00DE5882" w:rsidRDefault="0096466B" w:rsidP="003243F4">
      <w:pPr>
        <w:numPr>
          <w:ilvl w:val="0"/>
          <w:numId w:val="113"/>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Blue Primary School (one</w:t>
      </w:r>
      <w:r w:rsidR="00F80BBD">
        <w:rPr>
          <w:rFonts w:ascii="VIC-Regular" w:eastAsia="Times New Roman" w:hAnsi="VIC-Regular" w:cs="Arial"/>
          <w:color w:val="011A3C"/>
          <w:sz w:val="24"/>
          <w:szCs w:val="24"/>
          <w:lang w:val="en" w:eastAsia="en-AU"/>
        </w:rPr>
        <w:t>-</w:t>
      </w:r>
      <w:r w:rsidRPr="00DE5882">
        <w:rPr>
          <w:rFonts w:ascii="VIC-Regular" w:eastAsia="Times New Roman" w:hAnsi="VIC-Regular" w:cs="Arial"/>
          <w:color w:val="011A3C"/>
          <w:sz w:val="24"/>
          <w:szCs w:val="24"/>
          <w:lang w:val="en" w:eastAsia="en-AU"/>
        </w:rPr>
        <w:t>year fixed term position) will pay John’s salary from the first day of Term 1 to the day before term 1 starts in the next year.</w:t>
      </w:r>
    </w:p>
    <w:p w14:paraId="3862A19E" w14:textId="77777777" w:rsidR="0096466B" w:rsidRPr="00DE5882" w:rsidRDefault="0096466B" w:rsidP="003243F4">
      <w:pPr>
        <w:numPr>
          <w:ilvl w:val="0"/>
          <w:numId w:val="113"/>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(John’s base school) will pay John’s salary from the first day of Term 1 (of the next year) on an ongoing basis.</w:t>
      </w:r>
    </w:p>
    <w:p w14:paraId="3ADEFA3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2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1 vacation</w:t>
      </w:r>
    </w:p>
    <w:p w14:paraId="17313B2A"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Jane Support, is transferring from her base school, Red Secondary College, to Green Secondary College to fill a fixed-term contract for term 1. Start and end dates have been agreed by both principals and entered into eduPay. Based on the eduPay data, Jane’s salary is therefore charged as follows:</w:t>
      </w:r>
    </w:p>
    <w:p w14:paraId="56B77C6B" w14:textId="77777777" w:rsidR="0096466B" w:rsidRPr="00DE5882" w:rsidRDefault="0096466B" w:rsidP="003243F4">
      <w:pPr>
        <w:numPr>
          <w:ilvl w:val="0"/>
          <w:numId w:val="114"/>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(fixed term for Term 1) will pay Jane’s salary from the first day of Term 1 to the last day of the school Term 1 school holidays.</w:t>
      </w:r>
    </w:p>
    <w:p w14:paraId="582CFD9F" w14:textId="77777777" w:rsidR="0096466B" w:rsidRPr="00DE5882" w:rsidRDefault="0096466B" w:rsidP="003243F4">
      <w:pPr>
        <w:numPr>
          <w:ilvl w:val="0"/>
          <w:numId w:val="114"/>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Red Secondary College (Jane’s base school) will pay Jane’s salary from the first day of Term 2 on an ongoing basis.</w:t>
      </w:r>
    </w:p>
    <w:p w14:paraId="510A940D"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3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Negotiated transfer date</w:t>
      </w:r>
    </w:p>
    <w:p w14:paraId="1DDEA804"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Joseph Teacher, is transferring from Green Secondary College to Red Secondary College to fill a one year fixed-term contract.</w:t>
      </w:r>
    </w:p>
    <w:p w14:paraId="01E06D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principal at Red Secondary College wants Joseph to start work at the school early to assist in preparing for a new program at the school. The start date is the 16 January and end date (return to base) is the 15 January the following year. Both principals have agreed to these dates and they have been entered into eduPay. Based on the dates entered into eduPay, Joseph’s salary is therefore charged as follows:</w:t>
      </w:r>
    </w:p>
    <w:p w14:paraId="19D5D5B7" w14:textId="77777777" w:rsidR="0096466B" w:rsidRPr="00DE5882" w:rsidRDefault="0096466B" w:rsidP="003243F4">
      <w:pPr>
        <w:numPr>
          <w:ilvl w:val="0"/>
          <w:numId w:val="115"/>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pay Joseph’s salary from 16 January until 15 January the following year.</w:t>
      </w:r>
    </w:p>
    <w:p w14:paraId="3B749DE2" w14:textId="77777777" w:rsidR="0096466B" w:rsidRPr="00DE5882" w:rsidRDefault="0096466B" w:rsidP="003243F4">
      <w:pPr>
        <w:numPr>
          <w:ilvl w:val="0"/>
          <w:numId w:val="115"/>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(Joseph’s base school) will pay Joseph’s salary from 16 January in the following year on an ongoing basis.</w:t>
      </w:r>
    </w:p>
    <w:p w14:paraId="03D9ADC3"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Resigning teaching staff (including vacation periods)</w:t>
      </w:r>
    </w:p>
    <w:p w14:paraId="50EBD054" w14:textId="77777777" w:rsidR="0096466B" w:rsidRPr="00DE5882" w:rsidRDefault="0096466B" w:rsidP="0096466B">
      <w:pPr>
        <w:spacing w:before="100" w:beforeAutospacing="1" w:after="100" w:afterAutospacing="1" w:line="288" w:lineRule="atLeast"/>
        <w:outlineLvl w:val="3"/>
        <w:rPr>
          <w:rFonts w:ascii="VIC-Bold" w:eastAsia="Times New Roman" w:hAnsi="VIC-Bold" w:cs="Arial"/>
          <w:color w:val="011A3C"/>
          <w:sz w:val="24"/>
          <w:szCs w:val="24"/>
          <w:lang w:val="en" w:eastAsia="en-AU"/>
        </w:rPr>
      </w:pPr>
      <w:r w:rsidRPr="00DE5882">
        <w:rPr>
          <w:rFonts w:ascii="VIC-Bold" w:eastAsia="Times New Roman" w:hAnsi="VIC-Bold" w:cs="Arial"/>
          <w:color w:val="011A3C"/>
          <w:sz w:val="24"/>
          <w:szCs w:val="24"/>
          <w:lang w:val="en" w:eastAsia="en-AU"/>
        </w:rPr>
        <w:t>Example 1 — Staff member resigns on first day of term 1</w:t>
      </w:r>
    </w:p>
    <w:p w14:paraId="01A41317"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Staff member Lyn Teacher is resigning from Orange Primary School on the first day of Term 1 (further information can be found at </w:t>
      </w:r>
      <w:hyperlink r:id="rId125" w:history="1">
        <w:r w:rsidRPr="00DE5882">
          <w:rPr>
            <w:rFonts w:ascii="VIC-Regular" w:eastAsia="Times New Roman" w:hAnsi="VIC-Regular" w:cs="Arial"/>
            <w:color w:val="011A3C"/>
            <w:sz w:val="24"/>
            <w:szCs w:val="24"/>
            <w:lang w:val="en" w:eastAsia="en-AU"/>
          </w:rPr>
          <w:t>Cessation of Employment — Teaching Service</w:t>
        </w:r>
      </w:hyperlink>
      <w:r w:rsidRPr="00DE5882">
        <w:rPr>
          <w:rFonts w:ascii="VIC-Regular" w:eastAsia="Times New Roman" w:hAnsi="VIC-Regular" w:cs="Arial"/>
          <w:color w:val="011A3C"/>
          <w:sz w:val="24"/>
          <w:szCs w:val="24"/>
          <w:lang w:val="en" w:eastAsia="en-AU"/>
        </w:rPr>
        <w:t>). Lyn is therefore charged as follows:</w:t>
      </w:r>
    </w:p>
    <w:p w14:paraId="0E7D1467" w14:textId="77777777" w:rsidR="0096466B" w:rsidRPr="00DE5882" w:rsidRDefault="0096466B" w:rsidP="003243F4">
      <w:pPr>
        <w:numPr>
          <w:ilvl w:val="0"/>
          <w:numId w:val="116"/>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will pay Lyn’s salary from the first day of vacation to the last day of vacation.</w:t>
      </w:r>
    </w:p>
    <w:p w14:paraId="6F846BFD"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Fixed-term teaching staff (including vacation periods)</w:t>
      </w:r>
    </w:p>
    <w:p w14:paraId="462FB392" w14:textId="77777777" w:rsidR="0096466B" w:rsidRPr="00DE5882" w:rsidRDefault="007E3659" w:rsidP="0096466B">
      <w:pPr>
        <w:spacing w:before="100" w:beforeAutospacing="1" w:after="100" w:afterAutospacing="1" w:line="360" w:lineRule="atLeast"/>
        <w:rPr>
          <w:rFonts w:ascii="VIC-Regular" w:eastAsia="Times New Roman" w:hAnsi="VIC-Regular" w:cs="Arial"/>
          <w:color w:val="011A3C"/>
          <w:sz w:val="24"/>
          <w:szCs w:val="24"/>
          <w:lang w:val="en" w:eastAsia="en-AU"/>
        </w:rPr>
      </w:pPr>
      <w:hyperlink r:id="rId126" w:history="1">
        <w:r w:rsidR="0096466B" w:rsidRPr="00DE5882">
          <w:rPr>
            <w:rFonts w:ascii="VIC-Regular" w:eastAsia="Times New Roman" w:hAnsi="VIC-Regular" w:cs="Arial"/>
            <w:color w:val="011A3C"/>
            <w:sz w:val="24"/>
            <w:szCs w:val="24"/>
            <w:lang w:val="en" w:eastAsia="en-AU"/>
          </w:rPr>
          <w:t>Recruitment in Schools</w:t>
        </w:r>
      </w:hyperlink>
      <w:r w:rsidR="0096466B" w:rsidRPr="00DE5882">
        <w:rPr>
          <w:rFonts w:ascii="VIC-Regular" w:eastAsia="Times New Roman" w:hAnsi="VIC-Regular" w:cs="Arial"/>
          <w:color w:val="011A3C"/>
          <w:sz w:val="24"/>
          <w:szCs w:val="24"/>
          <w:lang w:val="en" w:eastAsia="en-AU"/>
        </w:rPr>
        <w:t xml:space="preserve"> provides schools with clear guidelines on fixed-term teacher vacancies. The duration of the vacancy must include relevant school vacation periods. A Fixed term Teacher Vacancy Ready Reckoner is available at </w:t>
      </w:r>
      <w:hyperlink r:id="rId127" w:history="1">
        <w:r w:rsidR="0096466B" w:rsidRPr="00DE5882">
          <w:rPr>
            <w:rFonts w:ascii="VIC-Regular" w:eastAsia="Times New Roman" w:hAnsi="VIC-Regular" w:cs="Arial"/>
            <w:color w:val="011A3C"/>
            <w:sz w:val="24"/>
            <w:szCs w:val="24"/>
            <w:lang w:val="en" w:eastAsia="en-AU"/>
          </w:rPr>
          <w:t>Recruitment in Schools</w:t>
        </w:r>
      </w:hyperlink>
      <w:r w:rsidR="0096466B" w:rsidRPr="00DE5882">
        <w:rPr>
          <w:rFonts w:ascii="VIC-Regular" w:eastAsia="Times New Roman" w:hAnsi="VIC-Regular" w:cs="Arial"/>
          <w:color w:val="011A3C"/>
          <w:sz w:val="24"/>
          <w:szCs w:val="24"/>
          <w:lang w:val="en" w:eastAsia="en-AU"/>
        </w:rPr>
        <w:t xml:space="preserve"> to assist schools in establishing the appropriate employment end date. Dates are reflected in eduPay and used to determine how schools should be charged.</w:t>
      </w:r>
    </w:p>
    <w:p w14:paraId="2F08C46D"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 xml:space="preserve">Example 1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End of year vacation (fixed-term staff member worked term 3 and term 4)</w:t>
      </w:r>
    </w:p>
    <w:p w14:paraId="7E64620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fixed-term staff member, Elizabeth Teacher, has a new fixed-term position at Blue Primary School. She has worked as a fixed-term staff member at Orange starting on the first day of Term 3 and had no other employment before that date. Using the fixed-term ready reckoner, it is determined that, as Elizabeth did not work for the entire year, she is only paid through the holiday period to the end of her leave entitlement. Based on the dates entered into eduPay, Elizabeth is therefore charged as follows:</w:t>
      </w:r>
    </w:p>
    <w:p w14:paraId="6C10F3D0" w14:textId="77777777" w:rsidR="0096466B" w:rsidRPr="00DE5882" w:rsidRDefault="0096466B" w:rsidP="003243F4">
      <w:pPr>
        <w:numPr>
          <w:ilvl w:val="0"/>
          <w:numId w:val="11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will be charged Elizabeth’s salary from the first day of vacation to the end of leave entitlement.</w:t>
      </w:r>
    </w:p>
    <w:p w14:paraId="616673F6" w14:textId="77777777" w:rsidR="0096466B" w:rsidRPr="00DE5882" w:rsidRDefault="0096466B" w:rsidP="003243F4">
      <w:pPr>
        <w:numPr>
          <w:ilvl w:val="0"/>
          <w:numId w:val="11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Elizabeth will not be paid from the end of leave entitlement to the last day of vacation and therefore there is no cost for any school to incur.</w:t>
      </w:r>
    </w:p>
    <w:p w14:paraId="327B98E2" w14:textId="77777777" w:rsidR="0096466B" w:rsidRPr="00DE5882" w:rsidRDefault="0096466B" w:rsidP="003243F4">
      <w:pPr>
        <w:numPr>
          <w:ilvl w:val="0"/>
          <w:numId w:val="11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Blue Primary school will be charged for Elizabeth’s salary from the first day of Term 1 until the end of her contract.</w:t>
      </w:r>
    </w:p>
    <w:p w14:paraId="4AA4DAE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2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1 vacation</w:t>
      </w:r>
    </w:p>
    <w:p w14:paraId="316E069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Fixed-term staff member, Jane Support, has a new contract at Green Secondary College for Term 2. She currently has a contract with Red Secondary College for Term 1. Based on the dates entered into eduPay, Jane is therefore charged as follows:</w:t>
      </w:r>
    </w:p>
    <w:p w14:paraId="64FEA2D1" w14:textId="77777777" w:rsidR="0096466B" w:rsidRPr="00DE5882" w:rsidRDefault="0096466B" w:rsidP="003243F4">
      <w:pPr>
        <w:numPr>
          <w:ilvl w:val="0"/>
          <w:numId w:val="11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be charged Jane’s salary from the first day of Term 1 to the last day of vacation.</w:t>
      </w:r>
    </w:p>
    <w:p w14:paraId="17B92A55" w14:textId="77777777" w:rsidR="0096466B" w:rsidRPr="00DE5882" w:rsidRDefault="0096466B" w:rsidP="003243F4">
      <w:pPr>
        <w:numPr>
          <w:ilvl w:val="0"/>
          <w:numId w:val="11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From the first day of Term 2 onwards Green Secondary College will be charged Jane’s salary.</w:t>
      </w:r>
    </w:p>
    <w:p w14:paraId="3599C2C4"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Higher duties (including vacation periods)</w:t>
      </w:r>
    </w:p>
    <w:p w14:paraId="66D1A268"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An employee in the principal or teacher class, who is assigned higher duties for a period that includes a school vacation period, will continue to be paid the allowance during the school vacation period. Higher duties assignments commence from the date of taking up the duty and cease at the end of the assignment period, or the last day of the school year, whichever is the earlier. Where an employee is in receipt of a higher duties allowance for at least one month immediately prior to the last day of the school year, he/she shall be </w:t>
      </w:r>
      <w:r w:rsidRPr="00DE5882">
        <w:rPr>
          <w:rFonts w:ascii="VIC-Regular" w:eastAsia="Times New Roman" w:hAnsi="VIC-Regular" w:cs="Arial"/>
          <w:color w:val="011A3C"/>
          <w:sz w:val="24"/>
          <w:szCs w:val="24"/>
          <w:lang w:val="en" w:eastAsia="en-AU"/>
        </w:rPr>
        <w:lastRenderedPageBreak/>
        <w:t>paid the allowance to 31 December of that year. For more information refer to </w:t>
      </w:r>
      <w:hyperlink r:id="rId128" w:history="1">
        <w:r w:rsidRPr="00DE5882">
          <w:rPr>
            <w:rFonts w:ascii="VIC-Regular" w:eastAsia="Times New Roman" w:hAnsi="VIC-Regular" w:cs="Arial"/>
            <w:color w:val="011A3C"/>
            <w:sz w:val="24"/>
            <w:szCs w:val="24"/>
            <w:lang w:val="en" w:eastAsia="en-AU"/>
          </w:rPr>
          <w:t>Higher Duties — Teaching Service</w:t>
        </w:r>
      </w:hyperlink>
      <w:r w:rsidRPr="00DE5882">
        <w:rPr>
          <w:rFonts w:ascii="VIC-Regular" w:eastAsia="Times New Roman" w:hAnsi="VIC-Regular" w:cs="Arial"/>
          <w:color w:val="011A3C"/>
          <w:sz w:val="24"/>
          <w:szCs w:val="24"/>
          <w:lang w:val="en" w:eastAsia="en-AU"/>
        </w:rPr>
        <w:t>.</w:t>
      </w:r>
    </w:p>
    <w:p w14:paraId="13505B62"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1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vacation</w:t>
      </w:r>
    </w:p>
    <w:p w14:paraId="0CCE6BC9"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Edward Teacher, has been given higher duties as an Assistant Principal at Green Secondary College for Term 2. He is currently an ongoing teacher at Red Secondary College. For more information refer to: </w:t>
      </w:r>
      <w:hyperlink r:id="rId129" w:history="1">
        <w:r w:rsidRPr="00DE5882">
          <w:rPr>
            <w:rFonts w:ascii="VIC-Regular" w:eastAsia="Times New Roman" w:hAnsi="VIC-Regular" w:cs="Arial"/>
            <w:color w:val="011A3C"/>
            <w:sz w:val="24"/>
            <w:szCs w:val="24"/>
            <w:lang w:val="en" w:eastAsia="en-AU"/>
          </w:rPr>
          <w:t>Transfer and Promotion for Teaching Service</w:t>
        </w:r>
      </w:hyperlink>
      <w:r w:rsidRPr="00DE5882">
        <w:rPr>
          <w:rFonts w:ascii="VIC-Regular" w:eastAsia="Times New Roman" w:hAnsi="VIC-Regular" w:cs="Arial"/>
          <w:color w:val="011A3C"/>
          <w:sz w:val="24"/>
          <w:szCs w:val="24"/>
          <w:lang w:val="en" w:eastAsia="en-AU"/>
        </w:rPr>
        <w:t> (including over vacation periods).</w:t>
      </w:r>
    </w:p>
    <w:p w14:paraId="6609C5CD"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Based on the dates entered into eduPay, Edward is therefore charged as follows:</w:t>
      </w:r>
    </w:p>
    <w:p w14:paraId="1FF623C3" w14:textId="3AECC44C" w:rsidR="0096466B" w:rsidRPr="00DE5882" w:rsidRDefault="0096466B" w:rsidP="003243F4">
      <w:pPr>
        <w:numPr>
          <w:ilvl w:val="0"/>
          <w:numId w:val="119"/>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will be charged Edward’s salary from the first day of Term 2 until the last day of vacation.</w:t>
      </w:r>
    </w:p>
    <w:p w14:paraId="40C6C4F5" w14:textId="77777777" w:rsidR="0096466B" w:rsidRPr="00DE5882" w:rsidRDefault="0096466B" w:rsidP="003243F4">
      <w:pPr>
        <w:numPr>
          <w:ilvl w:val="0"/>
          <w:numId w:val="119"/>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be charged from the first day of Term 3 onwards for Edward’s substantive salary.</w:t>
      </w:r>
    </w:p>
    <w:p w14:paraId="247ED208"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Salary mischarges</w:t>
      </w:r>
    </w:p>
    <w:p w14:paraId="304C4D6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mischarging amendments can be submitted by schools for situations such as staff charged to the incorrect budget category, for example Teaching Support to Integration Aide or to arrange split ledgers between schools.</w:t>
      </w:r>
    </w:p>
    <w:p w14:paraId="7A415F39"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For amendments related to leave, refer to: </w:t>
      </w:r>
      <w:hyperlink r:id="rId130" w:history="1">
        <w:r w:rsidRPr="00DE5882">
          <w:rPr>
            <w:rFonts w:ascii="VIC-Regular" w:eastAsia="Times New Roman" w:hAnsi="VIC-Regular" w:cs="Arial"/>
            <w:color w:val="011A3C"/>
            <w:sz w:val="24"/>
            <w:szCs w:val="24"/>
            <w:lang w:val="en" w:eastAsia="en-AU"/>
          </w:rPr>
          <w:t>Relief Staffing</w:t>
        </w:r>
      </w:hyperlink>
      <w:r w:rsidRPr="00DE5882">
        <w:rPr>
          <w:rFonts w:ascii="VIC-Regular" w:eastAsia="Times New Roman" w:hAnsi="VIC-Regular" w:cs="Arial"/>
          <w:color w:val="011A3C"/>
          <w:sz w:val="24"/>
          <w:szCs w:val="24"/>
          <w:lang w:val="en" w:eastAsia="en-AU"/>
        </w:rPr>
        <w:t>.</w:t>
      </w:r>
    </w:p>
    <w:p w14:paraId="38EEF7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Salary amendments can be submitted by accessing the ‘Salary mischarging amendment form’ (SMAF) tab, available on the </w:t>
      </w:r>
      <w:hyperlink r:id="rId131" w:history="1">
        <w:r w:rsidRPr="00DE5882">
          <w:rPr>
            <w:rFonts w:ascii="VIC-Regular" w:eastAsia="Times New Roman" w:hAnsi="VIC-Regular" w:cs="Arial"/>
            <w:color w:val="011A3C"/>
            <w:sz w:val="24"/>
            <w:szCs w:val="24"/>
            <w:lang w:val="en" w:eastAsia="en-AU"/>
          </w:rPr>
          <w:t>SRP Portal</w:t>
        </w:r>
      </w:hyperlink>
      <w:r w:rsidRPr="00DE5882">
        <w:rPr>
          <w:rFonts w:ascii="VIC-Regular" w:eastAsia="Times New Roman" w:hAnsi="VIC-Regular" w:cs="Arial"/>
          <w:color w:val="011A3C"/>
          <w:sz w:val="24"/>
          <w:szCs w:val="24"/>
          <w:lang w:val="en" w:eastAsia="en-AU"/>
        </w:rPr>
        <w:t>. Instructions are provided as part of the system and it is recommended you print these prior to undertaking an electronic mischarge correction.</w:t>
      </w:r>
    </w:p>
    <w:p w14:paraId="4299FBFC"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On-costs: SRP</w:t>
      </w:r>
    </w:p>
    <w:p w14:paraId="2864D0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Funds are included in the budget to meet salary on-costs associated with the payment of salaries and allowances on eduPay. These on-costs comprise payroll tax and superannuation. This funding is not separately itemised within the budget. When hiring staff, it is important to factor in these on-costs.</w:t>
      </w:r>
    </w:p>
    <w:p w14:paraId="3E9FDC86"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Superannuation</w:t>
      </w:r>
    </w:p>
    <w:p w14:paraId="15DBDD98" w14:textId="592993B9"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Superannuation is cost neutral as it is funded and charged at the same level based on the total credit allocation within the SRP. The rate at which superannuation is funded and charged each year can fluctuate. Superannuation expenditure is shown as a separate line in the </w:t>
      </w:r>
      <w:hyperlink r:id="rId132" w:history="1">
        <w:r w:rsidRPr="00DE5882">
          <w:rPr>
            <w:rFonts w:ascii="VIC-Regular" w:eastAsia="Times New Roman" w:hAnsi="VIC-Regular" w:cs="Arial"/>
            <w:color w:val="011A3C"/>
            <w:sz w:val="24"/>
            <w:szCs w:val="24"/>
            <w:lang w:val="en" w:eastAsia="en-AU"/>
          </w:rPr>
          <w:t>School Budget Management Report</w:t>
        </w:r>
      </w:hyperlink>
      <w:r w:rsidRPr="00DE5882">
        <w:rPr>
          <w:rFonts w:ascii="VIC-Regular" w:eastAsia="Times New Roman" w:hAnsi="VIC-Regular" w:cs="Arial"/>
          <w:color w:val="011A3C"/>
          <w:sz w:val="24"/>
          <w:szCs w:val="24"/>
          <w:lang w:val="en" w:eastAsia="en-AU"/>
        </w:rPr>
        <w:t xml:space="preserve">. If salary expenditure exceeds the credit </w:t>
      </w:r>
      <w:r w:rsidR="00F80BBD" w:rsidRPr="00DE5882">
        <w:rPr>
          <w:rFonts w:ascii="VIC-Regular" w:eastAsia="Times New Roman" w:hAnsi="VIC-Regular" w:cs="Arial"/>
          <w:color w:val="011A3C"/>
          <w:sz w:val="24"/>
          <w:szCs w:val="24"/>
          <w:lang w:val="en" w:eastAsia="en-AU"/>
        </w:rPr>
        <w:t>allocation,</w:t>
      </w:r>
      <w:r w:rsidRPr="00DE5882">
        <w:rPr>
          <w:rFonts w:ascii="VIC-Regular" w:eastAsia="Times New Roman" w:hAnsi="VIC-Regular" w:cs="Arial"/>
          <w:color w:val="011A3C"/>
          <w:sz w:val="24"/>
          <w:szCs w:val="24"/>
          <w:lang w:val="en" w:eastAsia="en-AU"/>
        </w:rPr>
        <w:t xml:space="preserve"> then additional superannuation may be charged (refer to the next section). The superannuation rate for 202</w:t>
      </w:r>
      <w:r w:rsidR="00F80BBD">
        <w:rPr>
          <w:rFonts w:ascii="VIC-Regular" w:eastAsia="Times New Roman" w:hAnsi="VIC-Regular" w:cs="Arial"/>
          <w:color w:val="011A3C"/>
          <w:sz w:val="24"/>
          <w:szCs w:val="24"/>
          <w:lang w:val="en" w:eastAsia="en-AU"/>
        </w:rPr>
        <w:t>1</w:t>
      </w:r>
      <w:r w:rsidRPr="00DE5882">
        <w:rPr>
          <w:rFonts w:ascii="VIC-Regular" w:eastAsia="Times New Roman" w:hAnsi="VIC-Regular" w:cs="Arial"/>
          <w:color w:val="011A3C"/>
          <w:sz w:val="24"/>
          <w:szCs w:val="24"/>
          <w:lang w:val="en" w:eastAsia="en-AU"/>
        </w:rPr>
        <w:t xml:space="preserve"> is 8.5%.</w:t>
      </w:r>
    </w:p>
    <w:p w14:paraId="2ED0CCB0"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Calculation:</w:t>
      </w:r>
    </w:p>
    <w:p w14:paraId="1B4945D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[Superannuation] = ( [Total Credit Budget] – [Workers’ Compensation Budget] ) × [Super Rate]</w:t>
      </w:r>
    </w:p>
    <w:p w14:paraId="65084082"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Additional super</w:t>
      </w:r>
    </w:p>
    <w:p w14:paraId="089FB66A"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If a school’s credit expenditure generates a superannuation charge in excess of the funded superannuation amount, then additional superannuation may be charged. Any carry forward surplus on which superannuation was charged, using previous year(s) prevailing rates, is excluded from the calculation. This adjustment cannot make the additional superannuation figure negative and additional super cannot be zero or less.</w:t>
      </w:r>
    </w:p>
    <w:p w14:paraId="7225A54B"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hint="eastAsia"/>
          <w:b/>
          <w:bCs/>
          <w:color w:val="011A3C"/>
          <w:sz w:val="27"/>
          <w:szCs w:val="27"/>
          <w:lang w:val="en" w:eastAsia="en-AU"/>
        </w:rPr>
        <w:t> </w:t>
      </w:r>
      <w:r w:rsidRPr="003243F4">
        <w:rPr>
          <w:rFonts w:ascii="VIC-Bold" w:eastAsia="Times New Roman" w:hAnsi="VIC-Bold" w:cs="Arial"/>
          <w:b/>
          <w:bCs/>
          <w:color w:val="011A3C"/>
          <w:sz w:val="27"/>
          <w:szCs w:val="27"/>
          <w:lang w:val="en" w:eastAsia="en-AU"/>
        </w:rPr>
        <w:t>Calculation:</w:t>
      </w:r>
    </w:p>
    <w:p w14:paraId="2943359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Additional Super = (Credit Expenditure × Super Rate) - Superannuation</w:t>
      </w:r>
    </w:p>
    <w:p w14:paraId="126AD75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Additional Super (with a surplus carried forward) = (Credit Expenditure × Super Rate) - Superannuation - (Surplus Carried Forward × Previous Year Super Rate)</w:t>
      </w:r>
    </w:p>
    <w:p w14:paraId="27D2F786"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Where:</w:t>
      </w:r>
    </w:p>
    <w:p w14:paraId="636E92E3"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Credit Expenditure = Total credit expenditure excluding Workers’ Compensation, Additional Super, </w:t>
      </w:r>
      <w:hyperlink r:id="rId133" w:history="1">
        <w:r w:rsidRPr="00DE5882">
          <w:rPr>
            <w:rFonts w:ascii="VIC-Regular" w:eastAsia="Times New Roman" w:hAnsi="VIC-Regular" w:cs="Arial"/>
            <w:color w:val="011A3C"/>
            <w:sz w:val="24"/>
            <w:szCs w:val="24"/>
            <w:lang w:val="en" w:eastAsia="en-AU"/>
          </w:rPr>
          <w:t>Credit to Cash Transfers</w:t>
        </w:r>
      </w:hyperlink>
      <w:r w:rsidRPr="00DE5882">
        <w:rPr>
          <w:rFonts w:ascii="VIC-Regular" w:eastAsia="Times New Roman" w:hAnsi="VIC-Regular" w:cs="Arial"/>
          <w:color w:val="011A3C"/>
          <w:sz w:val="24"/>
          <w:szCs w:val="24"/>
          <w:lang w:val="en" w:eastAsia="en-AU"/>
        </w:rPr>
        <w:t xml:space="preserve"> or administrative adjustments.</w:t>
      </w:r>
    </w:p>
    <w:p w14:paraId="24060C0C"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 Rate = Superannuation rate for the current budget year.</w:t>
      </w:r>
    </w:p>
    <w:p w14:paraId="1708EC52"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Previous Year Super Rate = Superannuation rate for the previous budget year.</w:t>
      </w:r>
    </w:p>
    <w:p w14:paraId="4C5ED5F6"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Superannuation = Superannuation amount charged to the school.</w:t>
      </w:r>
    </w:p>
    <w:p w14:paraId="6D4325D7"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Surplus carried forward = Surplus figure carried forward from previous year.</w:t>
      </w:r>
    </w:p>
    <w:p w14:paraId="440FA36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Payroll tax</w:t>
      </w:r>
    </w:p>
    <w:p w14:paraId="26FBF797" w14:textId="2B15097C"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Funding for payroll tax is included within the budget and is based on the credit expenditure for a school. The payroll tax rate for 202</w:t>
      </w:r>
      <w:r w:rsidR="00F80BBD">
        <w:rPr>
          <w:rFonts w:ascii="VIC-Regular" w:eastAsia="Times New Roman" w:hAnsi="VIC-Regular" w:cs="Arial"/>
          <w:color w:val="011A3C"/>
          <w:sz w:val="24"/>
          <w:szCs w:val="24"/>
          <w:lang w:val="en" w:eastAsia="en-AU"/>
        </w:rPr>
        <w:t>1</w:t>
      </w:r>
      <w:r w:rsidRPr="00DE5882">
        <w:rPr>
          <w:rFonts w:ascii="VIC-Regular" w:eastAsia="Times New Roman" w:hAnsi="VIC-Regular" w:cs="Arial"/>
          <w:color w:val="011A3C"/>
          <w:sz w:val="24"/>
          <w:szCs w:val="24"/>
          <w:lang w:val="en" w:eastAsia="en-AU"/>
        </w:rPr>
        <w:t xml:space="preserve"> is 4.85%.</w:t>
      </w:r>
    </w:p>
    <w:p w14:paraId="2B56218A"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Calculation:</w:t>
      </w:r>
    </w:p>
    <w:p w14:paraId="2251822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Payroll Tax = (Credit Expenditure – Teaching Practice) × Payroll Tax Rate</w:t>
      </w:r>
    </w:p>
    <w:p w14:paraId="2BF9DB0B"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Where:</w:t>
      </w:r>
    </w:p>
    <w:p w14:paraId="2B551189" w14:textId="77777777" w:rsidR="0096466B" w:rsidRPr="00DE5882" w:rsidRDefault="0096466B" w:rsidP="003243F4">
      <w:pPr>
        <w:numPr>
          <w:ilvl w:val="0"/>
          <w:numId w:val="12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Credit expenditure = Total credit expenditure excluding Workers’ Compensation, CCT’s, on-costs (superannuation, payroll tax, additional superannuation and so on), and administrative adjustments.</w:t>
      </w:r>
    </w:p>
    <w:p w14:paraId="798E74C1" w14:textId="77777777" w:rsidR="0096466B" w:rsidRPr="00DE5882" w:rsidRDefault="0096466B" w:rsidP="003243F4">
      <w:pPr>
        <w:numPr>
          <w:ilvl w:val="0"/>
          <w:numId w:val="12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Teaching practice = The teaching practice supervision credit expenditure line is excluded from the payroll tax calculation.</w:t>
      </w:r>
    </w:p>
    <w:p w14:paraId="692214F5" w14:textId="77777777" w:rsidR="0096466B" w:rsidRPr="00DE5882" w:rsidRDefault="0096466B" w:rsidP="003243F4">
      <w:pPr>
        <w:numPr>
          <w:ilvl w:val="0"/>
          <w:numId w:val="12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Payroll tax rate = Payroll tax rate for the current budget year.</w:t>
      </w:r>
    </w:p>
    <w:p w14:paraId="5B8AFD27"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Sabbatical</w:t>
      </w:r>
    </w:p>
    <w:p w14:paraId="7E1EAE8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participation of teachers in the sabbatical leave scheme is cost neutral to the SRP over the period of the scheme. Teachers participating in the scheme are charged to the SRP at 100 per cent of their salary at their relevant classification. The charge represents the actual cost of the teacher to the school over this period. When the staff member is on sabbatical leave, or receives a pay-out of their sabbatical, no charge is made to the school.</w:t>
      </w:r>
    </w:p>
    <w:p w14:paraId="7A1BABA4"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On-costs</w:t>
      </w:r>
    </w:p>
    <w:p w14:paraId="1294B0FC"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On-costs are calculated as a single line which can be seen on your </w:t>
      </w:r>
      <w:hyperlink r:id="rId134" w:history="1">
        <w:r w:rsidRPr="00DE5882">
          <w:rPr>
            <w:rFonts w:ascii="VIC-Regular" w:eastAsia="Times New Roman" w:hAnsi="VIC-Regular" w:cs="Arial"/>
            <w:color w:val="011A3C"/>
            <w:sz w:val="24"/>
            <w:szCs w:val="24"/>
            <w:lang w:val="en" w:eastAsia="en-AU"/>
          </w:rPr>
          <w:t>Budget Management Report</w:t>
        </w:r>
      </w:hyperlink>
      <w:r w:rsidRPr="00DE5882">
        <w:rPr>
          <w:rFonts w:ascii="VIC-Regular" w:eastAsia="Times New Roman" w:hAnsi="VIC-Regular" w:cs="Arial"/>
          <w:color w:val="011A3C"/>
          <w:sz w:val="24"/>
          <w:szCs w:val="24"/>
          <w:lang w:val="en" w:eastAsia="en-AU"/>
        </w:rPr>
        <w:t>. When budgeting to hire staff, it is important to factor in these on-costs. </w:t>
      </w:r>
    </w:p>
    <w:p w14:paraId="6D56778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on-costs figure is based on actual salary expenditure and, as such, it may vary throughout the course of the year based on projected expenditure.</w:t>
      </w:r>
    </w:p>
    <w:p w14:paraId="29338667"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Travel allowance</w:t>
      </w:r>
    </w:p>
    <w:p w14:paraId="38B7DEAE"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Travel allowance will be charged as a deduction against the school’s cash line for the impacted program. This can be reviewed throughout the year on the School Budget Management and Cash reports. For information on administration and processes relating to travel allowance in eduPay refer to </w:t>
      </w:r>
      <w:hyperlink r:id="rId135" w:history="1">
        <w:r w:rsidRPr="00DE5882">
          <w:rPr>
            <w:rFonts w:ascii="VIC-Regular" w:eastAsia="Times New Roman" w:hAnsi="VIC-Regular" w:cs="Arial"/>
            <w:color w:val="011A3C"/>
            <w:sz w:val="24"/>
            <w:szCs w:val="24"/>
            <w:lang w:val="en" w:eastAsia="en-AU"/>
          </w:rPr>
          <w:t>Travel and Personal Expenses — Teaching Service</w:t>
        </w:r>
      </w:hyperlink>
      <w:r w:rsidRPr="00DE5882">
        <w:rPr>
          <w:rFonts w:ascii="VIC-Regular" w:eastAsia="Times New Roman" w:hAnsi="VIC-Regular" w:cs="Arial"/>
          <w:color w:val="011A3C"/>
          <w:sz w:val="24"/>
          <w:szCs w:val="24"/>
          <w:lang w:val="en" w:eastAsia="en-AU"/>
        </w:rPr>
        <w:t>.</w:t>
      </w:r>
    </w:p>
    <w:p w14:paraId="00E69B12"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Principal salary charge</w:t>
      </w:r>
    </w:p>
    <w:p w14:paraId="29D7BD8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Special charging arrangements apply for the principal position in the SRP to ensure that the cost of the movement of principals’ salaries within classification scales is not borne by schools. This is achieved by ensuring the principal salary charge is consistent with the system of funding. Funding for the principal’s position is incorporated into the SRP formulae through the per-student rates and the enrolment-linked base. </w:t>
      </w:r>
    </w:p>
    <w:p w14:paraId="548FDD6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principal's salary will be charged to the school according to the formulae below for primary, secondary and pri-sec schools. In this way, the charge for the principal's salary is aligned with the amount effectively funded into the overall SRP model.</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1770"/>
        <w:gridCol w:w="1286"/>
        <w:gridCol w:w="1263"/>
        <w:gridCol w:w="2232"/>
        <w:gridCol w:w="1362"/>
      </w:tblGrid>
      <w:tr w:rsidR="0096466B" w:rsidRPr="00DE5882" w14:paraId="08CFD7FC" w14:textId="77777777" w:rsidTr="005C36EC">
        <w:trPr>
          <w:tblHeader/>
        </w:trPr>
        <w:tc>
          <w:tcPr>
            <w:tcW w:w="5000" w:type="pct"/>
            <w:gridSpan w:val="6"/>
            <w:vAlign w:val="center"/>
            <w:hideMark/>
          </w:tcPr>
          <w:p w14:paraId="2E2CD40E" w14:textId="77777777" w:rsidR="0096466B" w:rsidRPr="00DE5882" w:rsidRDefault="0096466B" w:rsidP="003243F4">
            <w:pPr>
              <w:spacing w:before="100" w:beforeAutospacing="1" w:after="100" w:afterAutospacing="1" w:line="288" w:lineRule="atLeast"/>
              <w:outlineLvl w:val="2"/>
              <w:rPr>
                <w:rFonts w:ascii="VIC-Regular" w:eastAsia="Times New Roman" w:hAnsi="VIC-Regular" w:cs="Arial"/>
                <w:sz w:val="24"/>
                <w:szCs w:val="24"/>
                <w:lang w:eastAsia="en-AU"/>
              </w:rPr>
            </w:pPr>
            <w:r w:rsidRPr="003243F4">
              <w:rPr>
                <w:rFonts w:ascii="VIC-Bold" w:eastAsia="Times New Roman" w:hAnsi="VIC-Bold" w:cs="Arial"/>
                <w:b/>
                <w:bCs/>
                <w:color w:val="011A3C"/>
                <w:sz w:val="27"/>
                <w:szCs w:val="27"/>
                <w:lang w:val="en" w:eastAsia="en-AU"/>
              </w:rPr>
              <w:t>Principal salary charge</w:t>
            </w:r>
          </w:p>
        </w:tc>
      </w:tr>
      <w:tr w:rsidR="005C36EC" w:rsidRPr="00DE5882" w14:paraId="1368989C" w14:textId="77777777" w:rsidTr="005C36EC">
        <w:trPr>
          <w:tblHeader/>
        </w:trPr>
        <w:tc>
          <w:tcPr>
            <w:tcW w:w="0" w:type="auto"/>
            <w:hideMark/>
          </w:tcPr>
          <w:p w14:paraId="289D892F" w14:textId="77777777" w:rsidR="0096466B" w:rsidRPr="00371B75" w:rsidRDefault="0096466B" w:rsidP="00ED4312">
            <w:pPr>
              <w:spacing w:after="0" w:line="240" w:lineRule="atLeast"/>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School Type</w:t>
            </w:r>
          </w:p>
        </w:tc>
        <w:tc>
          <w:tcPr>
            <w:tcW w:w="1006" w:type="pct"/>
            <w:hideMark/>
          </w:tcPr>
          <w:p w14:paraId="3EA4911D"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Base</w:t>
            </w:r>
          </w:p>
        </w:tc>
        <w:tc>
          <w:tcPr>
            <w:tcW w:w="743" w:type="pct"/>
            <w:hideMark/>
          </w:tcPr>
          <w:p w14:paraId="4A5FD27C"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Per student</w:t>
            </w:r>
          </w:p>
        </w:tc>
        <w:tc>
          <w:tcPr>
            <w:tcW w:w="585" w:type="pct"/>
            <w:hideMark/>
          </w:tcPr>
          <w:p w14:paraId="591ACDCA"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Enrolment cap</w:t>
            </w:r>
          </w:p>
        </w:tc>
        <w:tc>
          <w:tcPr>
            <w:tcW w:w="1256" w:type="pct"/>
            <w:hideMark/>
          </w:tcPr>
          <w:p w14:paraId="7455AA0D" w14:textId="0897A89B"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Total per capita</w:t>
            </w:r>
          </w:p>
        </w:tc>
        <w:tc>
          <w:tcPr>
            <w:tcW w:w="781" w:type="pct"/>
            <w:hideMark/>
          </w:tcPr>
          <w:p w14:paraId="1569B59A" w14:textId="77777777" w:rsidR="0096466B" w:rsidRPr="00371B75" w:rsidRDefault="0096466B" w:rsidP="00F80BBD">
            <w:pPr>
              <w:spacing w:after="0" w:line="240" w:lineRule="atLeast"/>
              <w:jc w:val="center"/>
              <w:rPr>
                <w:rFonts w:ascii="VIC-Bold" w:eastAsia="Times New Roman" w:hAnsi="VIC-Bold" w:cs="Arial"/>
                <w:color w:val="323E4F" w:themeColor="text2" w:themeShade="BF"/>
                <w:sz w:val="24"/>
                <w:szCs w:val="24"/>
                <w:lang w:eastAsia="en-AU"/>
              </w:rPr>
            </w:pPr>
            <w:r w:rsidRPr="00371B75">
              <w:rPr>
                <w:rFonts w:ascii="VIC-Bold" w:eastAsia="Times New Roman" w:hAnsi="VIC-Bold" w:cs="Arial"/>
                <w:color w:val="323E4F" w:themeColor="text2" w:themeShade="BF"/>
                <w:sz w:val="24"/>
                <w:szCs w:val="24"/>
                <w:lang w:eastAsia="en-AU"/>
              </w:rPr>
              <w:t>Total charge</w:t>
            </w:r>
          </w:p>
        </w:tc>
      </w:tr>
      <w:tr w:rsidR="005C36EC" w:rsidRPr="00DE5882" w14:paraId="0AD6B0A9" w14:textId="77777777" w:rsidTr="005C36EC">
        <w:tc>
          <w:tcPr>
            <w:tcW w:w="0" w:type="auto"/>
            <w:hideMark/>
          </w:tcPr>
          <w:p w14:paraId="2EB34CF9" w14:textId="77777777" w:rsidR="005C36EC" w:rsidRPr="00371B75" w:rsidRDefault="005C36EC" w:rsidP="005C36EC">
            <w:pPr>
              <w:spacing w:after="0" w:line="360" w:lineRule="atLeast"/>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Primary</w:t>
            </w:r>
          </w:p>
        </w:tc>
        <w:tc>
          <w:tcPr>
            <w:tcW w:w="1006" w:type="pct"/>
            <w:hideMark/>
          </w:tcPr>
          <w:p w14:paraId="2F9CBE0E" w14:textId="61199563"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$128,564</w:t>
            </w:r>
          </w:p>
        </w:tc>
        <w:tc>
          <w:tcPr>
            <w:tcW w:w="743" w:type="pct"/>
            <w:hideMark/>
          </w:tcPr>
          <w:p w14:paraId="2B33F182" w14:textId="2D84F1C6"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$83.89</w:t>
            </w:r>
          </w:p>
        </w:tc>
        <w:tc>
          <w:tcPr>
            <w:tcW w:w="585" w:type="pct"/>
            <w:hideMark/>
          </w:tcPr>
          <w:p w14:paraId="02C4DA94" w14:textId="7777777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536</w:t>
            </w:r>
          </w:p>
        </w:tc>
        <w:tc>
          <w:tcPr>
            <w:tcW w:w="1256" w:type="pct"/>
            <w:hideMark/>
          </w:tcPr>
          <w:p w14:paraId="550204C7" w14:textId="603C079A"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$44,965.04</w:t>
            </w:r>
          </w:p>
        </w:tc>
        <w:tc>
          <w:tcPr>
            <w:tcW w:w="781" w:type="pct"/>
            <w:hideMark/>
          </w:tcPr>
          <w:p w14:paraId="497E3C28" w14:textId="79FC9481"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$173,529.04</w:t>
            </w:r>
          </w:p>
        </w:tc>
      </w:tr>
      <w:tr w:rsidR="005C36EC" w:rsidRPr="00DE5882" w14:paraId="76CFC196" w14:textId="77777777" w:rsidTr="005C36EC">
        <w:tc>
          <w:tcPr>
            <w:tcW w:w="0" w:type="auto"/>
            <w:hideMark/>
          </w:tcPr>
          <w:p w14:paraId="69440CF9" w14:textId="77777777" w:rsidR="005C36EC" w:rsidRPr="00371B75" w:rsidRDefault="005C36EC" w:rsidP="005C36EC">
            <w:pPr>
              <w:spacing w:after="0" w:line="360" w:lineRule="atLeast"/>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Secondary</w:t>
            </w:r>
          </w:p>
        </w:tc>
        <w:tc>
          <w:tcPr>
            <w:tcW w:w="1006" w:type="pct"/>
            <w:hideMark/>
          </w:tcPr>
          <w:p w14:paraId="72B29488" w14:textId="69DA18D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$148,104</w:t>
            </w:r>
          </w:p>
        </w:tc>
        <w:tc>
          <w:tcPr>
            <w:tcW w:w="743" w:type="pct"/>
            <w:hideMark/>
          </w:tcPr>
          <w:p w14:paraId="47F90AB6" w14:textId="6EF7D33C"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$33.24</w:t>
            </w:r>
          </w:p>
        </w:tc>
        <w:tc>
          <w:tcPr>
            <w:tcW w:w="585" w:type="pct"/>
            <w:hideMark/>
          </w:tcPr>
          <w:p w14:paraId="381CB1C6" w14:textId="7777777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1148</w:t>
            </w:r>
          </w:p>
        </w:tc>
        <w:tc>
          <w:tcPr>
            <w:tcW w:w="1256" w:type="pct"/>
            <w:hideMark/>
          </w:tcPr>
          <w:p w14:paraId="3FDCC19C" w14:textId="346F8A8D"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$38,159.52</w:t>
            </w:r>
          </w:p>
        </w:tc>
        <w:tc>
          <w:tcPr>
            <w:tcW w:w="781" w:type="pct"/>
            <w:hideMark/>
          </w:tcPr>
          <w:p w14:paraId="12FC5EDB" w14:textId="3623107A"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$186,263.52</w:t>
            </w:r>
          </w:p>
        </w:tc>
      </w:tr>
      <w:tr w:rsidR="005C36EC" w:rsidRPr="00DE5882" w14:paraId="2E1590E8" w14:textId="77777777" w:rsidTr="005C36EC">
        <w:tc>
          <w:tcPr>
            <w:tcW w:w="0" w:type="auto"/>
            <w:hideMark/>
          </w:tcPr>
          <w:p w14:paraId="1B428304" w14:textId="04B18600" w:rsidR="005C36EC" w:rsidRPr="00371B75" w:rsidRDefault="005C36EC" w:rsidP="005C36EC">
            <w:pPr>
              <w:spacing w:after="0" w:line="360" w:lineRule="atLeast"/>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Pri-Sec combined</w:t>
            </w:r>
          </w:p>
        </w:tc>
        <w:tc>
          <w:tcPr>
            <w:tcW w:w="1006" w:type="pct"/>
            <w:hideMark/>
          </w:tcPr>
          <w:p w14:paraId="61A8FD1A" w14:textId="7A3BD635"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$152,112</w:t>
            </w:r>
          </w:p>
        </w:tc>
        <w:tc>
          <w:tcPr>
            <w:tcW w:w="743" w:type="pct"/>
            <w:hideMark/>
          </w:tcPr>
          <w:p w14:paraId="2B02C7AE" w14:textId="6495B0CE"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$34.00</w:t>
            </w:r>
          </w:p>
        </w:tc>
        <w:tc>
          <w:tcPr>
            <w:tcW w:w="585" w:type="pct"/>
            <w:hideMark/>
          </w:tcPr>
          <w:p w14:paraId="24B33401" w14:textId="77777777"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631</w:t>
            </w:r>
          </w:p>
        </w:tc>
        <w:tc>
          <w:tcPr>
            <w:tcW w:w="1256" w:type="pct"/>
            <w:hideMark/>
          </w:tcPr>
          <w:p w14:paraId="09DEE362" w14:textId="5DACAAEC"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$21,454.00</w:t>
            </w:r>
          </w:p>
        </w:tc>
        <w:tc>
          <w:tcPr>
            <w:tcW w:w="781" w:type="pct"/>
            <w:hideMark/>
          </w:tcPr>
          <w:p w14:paraId="46C5D1FC" w14:textId="442602A4" w:rsidR="005C36EC" w:rsidRPr="00371B75" w:rsidRDefault="005C36EC" w:rsidP="005C36EC">
            <w:pPr>
              <w:spacing w:after="0" w:line="360" w:lineRule="atLeast"/>
              <w:jc w:val="center"/>
              <w:rPr>
                <w:rFonts w:ascii="VIC-Regular" w:eastAsia="Times New Roman" w:hAnsi="VIC-Regular" w:cs="Arial"/>
                <w:color w:val="323E4F" w:themeColor="text2" w:themeShade="BF"/>
                <w:sz w:val="24"/>
                <w:szCs w:val="24"/>
                <w:lang w:eastAsia="en-AU"/>
              </w:rPr>
            </w:pPr>
            <w:r w:rsidRPr="00371B75">
              <w:rPr>
                <w:rFonts w:ascii="VIC-Regular" w:eastAsia="Times New Roman" w:hAnsi="VIC-Regular" w:cs="Arial"/>
                <w:color w:val="323E4F" w:themeColor="text2" w:themeShade="BF"/>
                <w:sz w:val="24"/>
                <w:szCs w:val="24"/>
                <w:lang w:eastAsia="en-AU"/>
              </w:rPr>
              <w:t>$173,566.00</w:t>
            </w:r>
          </w:p>
        </w:tc>
      </w:tr>
    </w:tbl>
    <w:p w14:paraId="0C64DE64" w14:textId="77777777" w:rsidR="0096466B" w:rsidRDefault="0096466B" w:rsidP="0096466B"/>
    <w:p w14:paraId="14B44818" w14:textId="77777777" w:rsidR="0096466B" w:rsidRDefault="0096466B" w:rsidP="0096466B">
      <w:r>
        <w:br w:type="page"/>
      </w:r>
    </w:p>
    <w:p w14:paraId="633E892C" w14:textId="790E5FA0" w:rsidR="0096466B" w:rsidRPr="00DE5882" w:rsidRDefault="0096466B" w:rsidP="00842992">
      <w:pPr>
        <w:pStyle w:val="Heading2"/>
      </w:pPr>
      <w:bookmarkStart w:id="89" w:name="_Toc52796225"/>
      <w:r w:rsidRPr="00DE5882">
        <w:lastRenderedPageBreak/>
        <w:t>Relief staffing</w:t>
      </w:r>
      <w:bookmarkEnd w:id="89"/>
    </w:p>
    <w:p w14:paraId="71214F9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Funds are incorporated into the Student Resource Package (SRP) to enable schools to manage all of their short and long-term relief teaching requirements.</w:t>
      </w:r>
    </w:p>
    <w:p w14:paraId="25F8838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There are exceptions in the nominated leave items outlined below. Relief funds are incorporated throughout the SRP formulae and are not separately identified.</w:t>
      </w:r>
    </w:p>
    <w:p w14:paraId="49DA496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Long-term leave is defined as leave of greater than 30 consecutive school days.</w:t>
      </w:r>
    </w:p>
    <w:p w14:paraId="563FB8B5"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relief planning</w:t>
      </w:r>
    </w:p>
    <w:p w14:paraId="659DD6FC"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nominated leave items</w:t>
      </w:r>
    </w:p>
    <w:p w14:paraId="734D7C94"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relief funding</w:t>
      </w:r>
    </w:p>
    <w:p w14:paraId="7EB11D58"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Defence Force leave</w:t>
      </w:r>
    </w:p>
    <w:p w14:paraId="6BBFA23E"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long-term leave</w:t>
      </w:r>
    </w:p>
    <w:p w14:paraId="31C0064E"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identification of a replacement</w:t>
      </w:r>
    </w:p>
    <w:p w14:paraId="2EBEB9D3"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trailing holidays</w:t>
      </w:r>
    </w:p>
    <w:p w14:paraId="65EBA52C"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teaching scholarship scheme</w:t>
      </w:r>
    </w:p>
    <w:p w14:paraId="1C2C7ACE"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Relief planning</w:t>
      </w:r>
    </w:p>
    <w:p w14:paraId="716FE0F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As part of the relief planning process, principals should consider the duties and expertise of all staff and allocate tasks accordingly. A reallocation of duties may be required in order to provide or maintain the desired curriculum or support provision in the school.</w:t>
      </w:r>
    </w:p>
    <w:p w14:paraId="6C15488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Replacement teaching staff are to be provided only when face-to-face teaching is required and where no internal resource is available. Contingency plans should be in place to provide for temporary re-organisation of teaching programs and extras to maintain necessary face-to-face teaching.</w:t>
      </w:r>
    </w:p>
    <w:p w14:paraId="078D42A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It is expected that principals will develop a school-based staff replacement plan and make adequate provision for relief costs to be met from within the total credit component of their SRP. Special support arrangements operate in respect of long-term leave via the 'Long-term Leave Support Scheme’ detailed below.</w:t>
      </w:r>
    </w:p>
    <w:p w14:paraId="5143F7FC"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Nominated leave items</w:t>
      </w:r>
    </w:p>
    <w:p w14:paraId="378D522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will be reimbursed for the cost of relief for the following types of leave:</w:t>
      </w:r>
    </w:p>
    <w:p w14:paraId="43960A5F"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 service leave and paid parental absences, for example maternity, partner, other paid parental leave (over and under 30 days)</w:t>
      </w:r>
    </w:p>
    <w:p w14:paraId="6E18B4AD"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Workers’ Compensation absences after the first 10 days (Workcover threshold)</w:t>
      </w:r>
    </w:p>
    <w:p w14:paraId="44D84CB4"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Transport Accident Commission Leave</w:t>
      </w:r>
    </w:p>
    <w:p w14:paraId="390378F9"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major sporting competition leave</w:t>
      </w:r>
    </w:p>
    <w:p w14:paraId="5544AB4B" w14:textId="01401E6E"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leave is 30 working days or less the DET’s Schools Finance and Resources Branch will approve reimbursement from contingency funds, providing that relief is required (where no internal resource can be available) and is employed. For leave over 30 days, funds will be allocated to cover the range of potential replacement costs, including fixed-term appointments and higher duties.</w:t>
      </w:r>
    </w:p>
    <w:p w14:paraId="466C36F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there is insufficient overall credit surplus in the SRP to employ relief, schools must have a deficit management strategy in place to reduce the deficit and to meet relief contingencies, having a view to using both the credit and cash components of the SRP. A summary of relief fund sources is provided in the table below.</w:t>
      </w:r>
    </w:p>
    <w:p w14:paraId="40863A1D" w14:textId="7D20DC01"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replacement can be a central or local/agency employee who meets the criteria below. Reimbursement will be cash or credit depending on the type of replacement nominated by the school.  However, cash reimbursement can only be for periods up to 30 school days.</w:t>
      </w:r>
      <w:r w:rsidR="00745DC1">
        <w:rPr>
          <w:rFonts w:ascii="VIC-Regular" w:eastAsia="Times New Roman" w:hAnsi="VIC-Regular" w:cs="Times New Roman"/>
          <w:color w:val="011A3C"/>
          <w:sz w:val="24"/>
          <w:szCs w:val="24"/>
          <w:lang w:val="en" w:eastAsia="en-AU"/>
        </w:rPr>
        <w:t xml:space="preserve"> </w:t>
      </w:r>
      <w:r w:rsidRPr="00DE5882">
        <w:rPr>
          <w:rFonts w:ascii="VIC-Regular" w:eastAsia="Times New Roman" w:hAnsi="VIC-Regular" w:cs="Times New Roman"/>
          <w:color w:val="011A3C"/>
          <w:sz w:val="24"/>
          <w:szCs w:val="24"/>
          <w:lang w:val="en" w:eastAsia="en-AU"/>
        </w:rPr>
        <w:t xml:space="preserve">Schools are required to process and submit nominated replacement details on a regular basis and need to be submitted </w:t>
      </w:r>
      <w:r w:rsidRPr="00DE5882">
        <w:rPr>
          <w:rFonts w:ascii="VIC-Regular" w:eastAsia="Times New Roman" w:hAnsi="VIC-Regular" w:cs="Times New Roman"/>
          <w:b/>
          <w:bCs/>
          <w:color w:val="011A3C"/>
          <w:sz w:val="24"/>
          <w:szCs w:val="24"/>
          <w:lang w:val="en" w:eastAsia="en-AU"/>
        </w:rPr>
        <w:t>no later than by the end of the next term after the replacement took place</w:t>
      </w:r>
      <w:r w:rsidRPr="00DE5882">
        <w:rPr>
          <w:rFonts w:ascii="VIC-Regular" w:eastAsia="Times New Roman" w:hAnsi="VIC-Regular" w:cs="Times New Roman"/>
          <w:color w:val="011A3C"/>
          <w:sz w:val="24"/>
          <w:szCs w:val="24"/>
          <w:lang w:val="en" w:eastAsia="en-AU"/>
        </w:rPr>
        <w:t>.</w:t>
      </w:r>
    </w:p>
    <w:p w14:paraId="787038D5" w14:textId="70A50BD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Cash reimbursements are subject to investigation which will be undertaken continuously throughout the year. Periodic and random checks will be made at schools to ensure the integrity of the process is maintained and schools maintain accountability for the submission process. Documentation will also be reviewed to ensure appropriate evidence is on file </w:t>
      </w:r>
      <w:r w:rsidR="00745DC1">
        <w:rPr>
          <w:rFonts w:ascii="VIC-Regular" w:eastAsia="Times New Roman" w:hAnsi="VIC-Regular" w:cs="Times New Roman"/>
          <w:color w:val="011A3C"/>
          <w:sz w:val="24"/>
          <w:szCs w:val="24"/>
          <w:lang w:val="en" w:eastAsia="en-AU"/>
        </w:rPr>
        <w:t xml:space="preserve">such as </w:t>
      </w:r>
      <w:r w:rsidRPr="00DE5882">
        <w:rPr>
          <w:rFonts w:ascii="VIC-Regular" w:eastAsia="Times New Roman" w:hAnsi="VIC-Regular" w:cs="Times New Roman"/>
          <w:color w:val="011A3C"/>
          <w:sz w:val="24"/>
          <w:szCs w:val="24"/>
          <w:lang w:val="en" w:eastAsia="en-AU"/>
        </w:rPr>
        <w:t>time sheets and invoices.</w:t>
      </w:r>
    </w:p>
    <w:p w14:paraId="04413C78"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lastRenderedPageBreak/>
        <w:t>Relief funding</w:t>
      </w:r>
    </w:p>
    <w:p w14:paraId="55B9691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table summarises the funding source for each leave type for principals, teachers and education support officers: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9"/>
        <w:gridCol w:w="2135"/>
        <w:gridCol w:w="1641"/>
        <w:gridCol w:w="2461"/>
      </w:tblGrid>
      <w:tr w:rsidR="0096466B" w:rsidRPr="00DE5882" w14:paraId="5EBD323F" w14:textId="77777777" w:rsidTr="003243F4">
        <w:trPr>
          <w:tblHeader/>
        </w:trPr>
        <w:tc>
          <w:tcPr>
            <w:tcW w:w="0" w:type="auto"/>
            <w:gridSpan w:val="4"/>
            <w:vAlign w:val="center"/>
            <w:hideMark/>
          </w:tcPr>
          <w:p w14:paraId="45015240" w14:textId="77777777" w:rsidR="0096466B" w:rsidRPr="00371B75"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Relief funding </w:t>
            </w:r>
            <w:r w:rsidRPr="00371B75">
              <w:rPr>
                <w:rFonts w:ascii="VIC-Bold" w:eastAsia="Times New Roman" w:hAnsi="VIC-Bold" w:cs="Times New Roman" w:hint="eastAsia"/>
                <w:b/>
                <w:bCs/>
                <w:color w:val="323E4F" w:themeColor="text2" w:themeShade="BF"/>
                <w:sz w:val="24"/>
                <w:szCs w:val="24"/>
                <w:lang w:eastAsia="en-AU"/>
              </w:rPr>
              <w:t>—</w:t>
            </w:r>
            <w:r w:rsidRPr="00371B75">
              <w:rPr>
                <w:rFonts w:ascii="VIC-Bold" w:eastAsia="Times New Roman" w:hAnsi="VIC-Bold" w:cs="Times New Roman"/>
                <w:b/>
                <w:bCs/>
                <w:color w:val="323E4F" w:themeColor="text2" w:themeShade="BF"/>
                <w:sz w:val="24"/>
                <w:szCs w:val="24"/>
                <w:lang w:eastAsia="en-AU"/>
              </w:rPr>
              <w:t xml:space="preserve"> Principals</w:t>
            </w:r>
          </w:p>
        </w:tc>
      </w:tr>
      <w:tr w:rsidR="0096466B" w:rsidRPr="00DE5882" w14:paraId="2B6FB657" w14:textId="77777777" w:rsidTr="003243F4">
        <w:trPr>
          <w:tblHeader/>
        </w:trPr>
        <w:tc>
          <w:tcPr>
            <w:tcW w:w="0" w:type="auto"/>
            <w:hideMark/>
          </w:tcPr>
          <w:p w14:paraId="1B3D824A"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Principals</w:t>
            </w:r>
          </w:p>
        </w:tc>
        <w:tc>
          <w:tcPr>
            <w:tcW w:w="0" w:type="auto"/>
            <w:hideMark/>
          </w:tcPr>
          <w:p w14:paraId="21BC1DD6"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1-5 Days</w:t>
            </w:r>
          </w:p>
        </w:tc>
        <w:tc>
          <w:tcPr>
            <w:tcW w:w="0" w:type="auto"/>
            <w:hideMark/>
          </w:tcPr>
          <w:p w14:paraId="48D1631F"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6-30 Days</w:t>
            </w:r>
          </w:p>
        </w:tc>
        <w:tc>
          <w:tcPr>
            <w:tcW w:w="0" w:type="auto"/>
            <w:hideMark/>
          </w:tcPr>
          <w:p w14:paraId="23D487F0"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More than 30 days (31+)</w:t>
            </w:r>
          </w:p>
        </w:tc>
      </w:tr>
      <w:tr w:rsidR="0096466B" w:rsidRPr="00DE5882" w14:paraId="28E12954" w14:textId="77777777" w:rsidTr="003243F4">
        <w:tc>
          <w:tcPr>
            <w:tcW w:w="0" w:type="auto"/>
            <w:hideMark/>
          </w:tcPr>
          <w:p w14:paraId="77B2EB43"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Sick leave</w:t>
            </w:r>
          </w:p>
        </w:tc>
        <w:tc>
          <w:tcPr>
            <w:tcW w:w="0" w:type="auto"/>
            <w:hideMark/>
          </w:tcPr>
          <w:p w14:paraId="25F86A5E"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461569E5"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For periods of more than five days, higher duties must be entered on eduPay for an employee paid through central payroll</w:t>
            </w:r>
          </w:p>
        </w:tc>
        <w:tc>
          <w:tcPr>
            <w:tcW w:w="0" w:type="auto"/>
            <w:hideMark/>
          </w:tcPr>
          <w:p w14:paraId="3E8C568D"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on central payroll is automatically reimbursed to SRP other than the holiday period **. For replacement to move to principal line Higher Duties must be entered on eduPay. Check </w:t>
            </w:r>
            <w:hyperlink r:id="rId136"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w:t>
            </w:r>
          </w:p>
        </w:tc>
      </w:tr>
      <w:tr w:rsidR="0096466B" w:rsidRPr="00DE5882" w14:paraId="138EDF1D" w14:textId="77777777" w:rsidTr="003243F4">
        <w:tc>
          <w:tcPr>
            <w:tcW w:w="0" w:type="auto"/>
            <w:hideMark/>
          </w:tcPr>
          <w:p w14:paraId="60FB47A4"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Nominated leave </w:t>
            </w:r>
          </w:p>
          <w:p w14:paraId="22F84D66" w14:textId="77777777" w:rsidR="0096466B" w:rsidRPr="00371B75" w:rsidRDefault="0096466B" w:rsidP="003243F4">
            <w:pPr>
              <w:numPr>
                <w:ilvl w:val="0"/>
                <w:numId w:val="124"/>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Long service leave</w:t>
            </w:r>
          </w:p>
          <w:p w14:paraId="2ABE0E55" w14:textId="77777777" w:rsidR="0096466B" w:rsidRPr="00371B75" w:rsidRDefault="0096466B" w:rsidP="003243F4">
            <w:pPr>
              <w:numPr>
                <w:ilvl w:val="0"/>
                <w:numId w:val="124"/>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Family-Primary Carer/Partner-Secondary Carer Leave</w:t>
            </w:r>
          </w:p>
          <w:p w14:paraId="5838A945" w14:textId="77777777" w:rsidR="0096466B" w:rsidRPr="00371B75" w:rsidRDefault="0096466B" w:rsidP="003243F4">
            <w:pPr>
              <w:numPr>
                <w:ilvl w:val="0"/>
                <w:numId w:val="124"/>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Workers’ Compensation absences after the first ten days (Workcover Threshold)</w:t>
            </w:r>
          </w:p>
          <w:p w14:paraId="10C2A678" w14:textId="77777777" w:rsidR="0096466B" w:rsidRPr="00371B75" w:rsidRDefault="0096466B" w:rsidP="003243F4">
            <w:pPr>
              <w:numPr>
                <w:ilvl w:val="0"/>
                <w:numId w:val="124"/>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Transport Accident Commission </w:t>
            </w:r>
            <w:r w:rsidRPr="00371B75">
              <w:rPr>
                <w:rFonts w:ascii="VIC-Regular" w:eastAsia="Times New Roman" w:hAnsi="VIC-Regular" w:cs="Times New Roman"/>
                <w:color w:val="323E4F" w:themeColor="text2" w:themeShade="BF"/>
                <w:sz w:val="24"/>
                <w:szCs w:val="24"/>
                <w:lang w:eastAsia="en-AU"/>
              </w:rPr>
              <w:lastRenderedPageBreak/>
              <w:t>Leave (after the first five days)</w:t>
            </w:r>
          </w:p>
          <w:p w14:paraId="1678FA60" w14:textId="77777777" w:rsidR="0096466B" w:rsidRPr="00371B75" w:rsidRDefault="0096466B" w:rsidP="003243F4">
            <w:pPr>
              <w:numPr>
                <w:ilvl w:val="0"/>
                <w:numId w:val="124"/>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Major sporting competition leave</w:t>
            </w:r>
          </w:p>
        </w:tc>
        <w:tc>
          <w:tcPr>
            <w:tcW w:w="0" w:type="auto"/>
            <w:hideMark/>
          </w:tcPr>
          <w:p w14:paraId="3A29F1DE"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 xml:space="preserve">Identify replacement through the leave panel on the </w:t>
            </w:r>
            <w:hyperlink r:id="rId137" w:history="1">
              <w:r w:rsidRPr="00371B75">
                <w:rPr>
                  <w:rFonts w:ascii="VIC-Regular" w:eastAsia="Times New Roman" w:hAnsi="VIC-Regular" w:cs="Times New Roman"/>
                  <w:color w:val="323E4F" w:themeColor="text2" w:themeShade="BF"/>
                  <w:sz w:val="24"/>
                  <w:szCs w:val="24"/>
                  <w:lang w:eastAsia="en-AU"/>
                </w:rPr>
                <w:t>SRP Portal</w:t>
              </w:r>
            </w:hyperlink>
          </w:p>
        </w:tc>
        <w:tc>
          <w:tcPr>
            <w:tcW w:w="0" w:type="auto"/>
            <w:hideMark/>
          </w:tcPr>
          <w:p w14:paraId="7630A5F1"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For periods of more than five days, higher duties must be entered on eduPay for an employee paid through central payroll</w:t>
            </w:r>
          </w:p>
        </w:tc>
        <w:tc>
          <w:tcPr>
            <w:tcW w:w="0" w:type="auto"/>
            <w:hideMark/>
          </w:tcPr>
          <w:p w14:paraId="435AF5A7"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on central payroll is automatically reimbursed to SRP other than the holiday period**. For replacement to move to principal line Higher Duties must be entered on eduPay. Check </w:t>
            </w:r>
            <w:hyperlink r:id="rId138"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w:t>
            </w:r>
          </w:p>
        </w:tc>
      </w:tr>
    </w:tbl>
    <w:p w14:paraId="6B120E0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*Funding of up to 5 days already funded in SRP.</w:t>
      </w:r>
    </w:p>
    <w:p w14:paraId="2EB15972" w14:textId="47B79884"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Identify replacement through the leave portal on the SRP website to claim leave for the holiday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0"/>
        <w:gridCol w:w="1940"/>
        <w:gridCol w:w="3576"/>
      </w:tblGrid>
      <w:tr w:rsidR="0096466B" w:rsidRPr="00DE5882" w14:paraId="61DDABE4" w14:textId="77777777" w:rsidTr="003243F4">
        <w:trPr>
          <w:tblHeader/>
        </w:trPr>
        <w:tc>
          <w:tcPr>
            <w:tcW w:w="0" w:type="auto"/>
            <w:gridSpan w:val="3"/>
            <w:vAlign w:val="center"/>
            <w:hideMark/>
          </w:tcPr>
          <w:p w14:paraId="64C12CB9" w14:textId="77777777" w:rsidR="0096466B" w:rsidRPr="00371B75"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371B75">
              <w:rPr>
                <w:rFonts w:ascii="VIC-Bold" w:eastAsia="Times New Roman" w:hAnsi="VIC-Bold" w:cs="Times New Roman"/>
                <w:b/>
                <w:bCs/>
                <w:color w:val="323E4F" w:themeColor="text2" w:themeShade="BF"/>
                <w:sz w:val="24"/>
                <w:szCs w:val="24"/>
                <w:lang w:eastAsia="en-AU"/>
              </w:rPr>
              <w:t xml:space="preserve">Relief funding </w:t>
            </w:r>
            <w:r w:rsidRPr="00371B75">
              <w:rPr>
                <w:rFonts w:ascii="VIC-Bold" w:eastAsia="Times New Roman" w:hAnsi="VIC-Bold" w:cs="Times New Roman" w:hint="eastAsia"/>
                <w:b/>
                <w:bCs/>
                <w:color w:val="323E4F" w:themeColor="text2" w:themeShade="BF"/>
                <w:sz w:val="24"/>
                <w:szCs w:val="24"/>
                <w:lang w:eastAsia="en-AU"/>
              </w:rPr>
              <w:t>—</w:t>
            </w:r>
            <w:r w:rsidRPr="00371B75">
              <w:rPr>
                <w:rFonts w:ascii="VIC-Bold" w:eastAsia="Times New Roman" w:hAnsi="VIC-Bold" w:cs="Times New Roman"/>
                <w:b/>
                <w:bCs/>
                <w:color w:val="323E4F" w:themeColor="text2" w:themeShade="BF"/>
                <w:sz w:val="24"/>
                <w:szCs w:val="24"/>
                <w:lang w:eastAsia="en-AU"/>
              </w:rPr>
              <w:t xml:space="preserve"> Assistant Principals, Teachers, Education Support Officers, Allied Health and Victorian Public Servants</w:t>
            </w:r>
          </w:p>
        </w:tc>
      </w:tr>
      <w:tr w:rsidR="0096466B" w:rsidRPr="00DE5882" w14:paraId="2A27D08F" w14:textId="77777777" w:rsidTr="003243F4">
        <w:trPr>
          <w:tblHeader/>
        </w:trPr>
        <w:tc>
          <w:tcPr>
            <w:tcW w:w="2041" w:type="pct"/>
            <w:hideMark/>
          </w:tcPr>
          <w:p w14:paraId="10183F3E"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Assistant Principals, Teachers, Education Support Officers, Allied Health and Victorian Public Servants</w:t>
            </w:r>
          </w:p>
        </w:tc>
        <w:tc>
          <w:tcPr>
            <w:tcW w:w="876" w:type="pct"/>
            <w:hideMark/>
          </w:tcPr>
          <w:p w14:paraId="0D3EF934"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Up to 30 days</w:t>
            </w:r>
          </w:p>
        </w:tc>
        <w:tc>
          <w:tcPr>
            <w:tcW w:w="0" w:type="auto"/>
            <w:hideMark/>
          </w:tcPr>
          <w:p w14:paraId="43EB04E6" w14:textId="77777777" w:rsidR="0096466B" w:rsidRPr="00371B75"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371B75">
              <w:rPr>
                <w:rFonts w:ascii="VIC-Bold" w:eastAsia="Times New Roman" w:hAnsi="VIC-Bold" w:cs="Times New Roman"/>
                <w:color w:val="323E4F" w:themeColor="text2" w:themeShade="BF"/>
                <w:sz w:val="24"/>
                <w:szCs w:val="24"/>
                <w:lang w:eastAsia="en-AU"/>
              </w:rPr>
              <w:t>More than 30 days (31+)</w:t>
            </w:r>
          </w:p>
        </w:tc>
      </w:tr>
      <w:tr w:rsidR="0096466B" w:rsidRPr="00DE5882" w14:paraId="3DF57323" w14:textId="77777777" w:rsidTr="003243F4">
        <w:tc>
          <w:tcPr>
            <w:tcW w:w="2041" w:type="pct"/>
            <w:hideMark/>
          </w:tcPr>
          <w:p w14:paraId="5478D218"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Sick leave</w:t>
            </w:r>
          </w:p>
        </w:tc>
        <w:tc>
          <w:tcPr>
            <w:tcW w:w="876" w:type="pct"/>
            <w:hideMark/>
          </w:tcPr>
          <w:p w14:paraId="3A20BBE2"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14D4ACCA"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Schools pay self-insurance premium under Long-term Leave Support Scheme (see below). Leave on payroll is automatically reimbursed to SRP other than the holiday period**. Leave Capping (see below) may apply. Check </w:t>
            </w:r>
            <w:hyperlink r:id="rId139"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 xml:space="preserve"> .</w:t>
            </w:r>
          </w:p>
        </w:tc>
      </w:tr>
      <w:tr w:rsidR="0096466B" w:rsidRPr="00DE5882" w14:paraId="1A0FA52A" w14:textId="77777777" w:rsidTr="003243F4">
        <w:tc>
          <w:tcPr>
            <w:tcW w:w="2041" w:type="pct"/>
            <w:hideMark/>
          </w:tcPr>
          <w:p w14:paraId="0C4ED092"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Nominated leave </w:t>
            </w:r>
          </w:p>
          <w:p w14:paraId="46A4361F" w14:textId="77777777" w:rsidR="0096466B" w:rsidRPr="00371B75" w:rsidRDefault="0096466B" w:rsidP="003243F4">
            <w:pPr>
              <w:numPr>
                <w:ilvl w:val="0"/>
                <w:numId w:val="125"/>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Long Service Leave</w:t>
            </w:r>
          </w:p>
          <w:p w14:paraId="24BD2F3C" w14:textId="77777777" w:rsidR="0096466B" w:rsidRPr="00371B75" w:rsidRDefault="0096466B" w:rsidP="003243F4">
            <w:pPr>
              <w:numPr>
                <w:ilvl w:val="0"/>
                <w:numId w:val="125"/>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Family-Primary Carer/Partner-Secondary Carer Leave</w:t>
            </w:r>
          </w:p>
          <w:p w14:paraId="08C9E0D3" w14:textId="77777777" w:rsidR="0096466B" w:rsidRPr="00371B75" w:rsidRDefault="0096466B" w:rsidP="003243F4">
            <w:pPr>
              <w:numPr>
                <w:ilvl w:val="0"/>
                <w:numId w:val="125"/>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Workers’ Compensation absences after the first ten days</w:t>
            </w:r>
          </w:p>
          <w:p w14:paraId="43C2B1D4" w14:textId="77777777" w:rsidR="0096466B" w:rsidRPr="00371B75" w:rsidRDefault="0096466B" w:rsidP="003243F4">
            <w:pPr>
              <w:numPr>
                <w:ilvl w:val="0"/>
                <w:numId w:val="125"/>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Transport Accident Commission Leave (after the first five days)</w:t>
            </w:r>
          </w:p>
          <w:p w14:paraId="1F2CEE2E" w14:textId="77777777" w:rsidR="0096466B" w:rsidRPr="00371B75" w:rsidRDefault="0096466B" w:rsidP="003243F4">
            <w:pPr>
              <w:numPr>
                <w:ilvl w:val="0"/>
                <w:numId w:val="125"/>
              </w:numPr>
              <w:spacing w:before="100" w:beforeAutospacing="1" w:after="100" w:afterAutospacing="1"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Major sporting competition leave</w:t>
            </w:r>
          </w:p>
        </w:tc>
        <w:tc>
          <w:tcPr>
            <w:tcW w:w="876" w:type="pct"/>
            <w:hideMark/>
          </w:tcPr>
          <w:p w14:paraId="19BA1E39"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lastRenderedPageBreak/>
              <w:t>Identify replacement through the leave panel on the SRP Portal</w:t>
            </w:r>
          </w:p>
        </w:tc>
        <w:tc>
          <w:tcPr>
            <w:tcW w:w="0" w:type="auto"/>
            <w:hideMark/>
          </w:tcPr>
          <w:p w14:paraId="14263D70" w14:textId="5332B6A6"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Leave on central payroll is automatically reimbursed to SRP other than</w:t>
            </w:r>
            <w:r w:rsidR="00745DC1" w:rsidRPr="00371B75">
              <w:rPr>
                <w:rFonts w:ascii="VIC-Regular" w:eastAsia="Times New Roman" w:hAnsi="VIC-Regular" w:cs="Times New Roman"/>
                <w:color w:val="323E4F" w:themeColor="text2" w:themeShade="BF"/>
                <w:sz w:val="24"/>
                <w:szCs w:val="24"/>
                <w:lang w:eastAsia="en-AU"/>
              </w:rPr>
              <w:t xml:space="preserve"> </w:t>
            </w:r>
            <w:r w:rsidRPr="00371B75">
              <w:rPr>
                <w:rFonts w:ascii="VIC-Regular" w:eastAsia="Times New Roman" w:hAnsi="VIC-Regular" w:cs="Times New Roman"/>
                <w:color w:val="323E4F" w:themeColor="text2" w:themeShade="BF"/>
                <w:sz w:val="24"/>
                <w:szCs w:val="24"/>
                <w:lang w:eastAsia="en-AU"/>
              </w:rPr>
              <w:t xml:space="preserve">the holiday period**. Leave Capping (see below) may apply. Check </w:t>
            </w:r>
            <w:hyperlink r:id="rId140" w:history="1">
              <w:r w:rsidRPr="00371B75">
                <w:rPr>
                  <w:rFonts w:ascii="VIC-Regular" w:eastAsia="Times New Roman" w:hAnsi="VIC-Regular" w:cs="Times New Roman"/>
                  <w:color w:val="323E4F" w:themeColor="text2" w:themeShade="BF"/>
                  <w:sz w:val="24"/>
                  <w:szCs w:val="24"/>
                  <w:lang w:eastAsia="en-AU"/>
                </w:rPr>
                <w:t>Management Reports</w:t>
              </w:r>
            </w:hyperlink>
            <w:r w:rsidRPr="00371B75">
              <w:rPr>
                <w:rFonts w:ascii="VIC-Regular" w:eastAsia="Times New Roman" w:hAnsi="VIC-Regular" w:cs="Times New Roman"/>
                <w:color w:val="323E4F" w:themeColor="text2" w:themeShade="BF"/>
                <w:sz w:val="24"/>
                <w:szCs w:val="24"/>
                <w:lang w:eastAsia="en-AU"/>
              </w:rPr>
              <w:t xml:space="preserve"> .</w:t>
            </w:r>
          </w:p>
        </w:tc>
      </w:tr>
      <w:tr w:rsidR="0096466B" w:rsidRPr="00DE5882" w14:paraId="5CCE0BFC" w14:textId="77777777" w:rsidTr="003243F4">
        <w:tc>
          <w:tcPr>
            <w:tcW w:w="2041" w:type="pct"/>
            <w:hideMark/>
          </w:tcPr>
          <w:p w14:paraId="65400DED"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Defence Force Leave</w:t>
            </w:r>
          </w:p>
        </w:tc>
        <w:tc>
          <w:tcPr>
            <w:tcW w:w="876" w:type="pct"/>
            <w:hideMark/>
          </w:tcPr>
          <w:p w14:paraId="65633CD9"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is unpaid. If charged for make-up pay, claim reimbursement via </w:t>
            </w:r>
            <w:hyperlink r:id="rId141" w:history="1">
              <w:r w:rsidRPr="00371B75">
                <w:rPr>
                  <w:rFonts w:ascii="VIC-Regular" w:eastAsia="Times New Roman" w:hAnsi="VIC-Regular" w:cs="Times New Roman"/>
                  <w:color w:val="323E4F" w:themeColor="text2" w:themeShade="BF"/>
                  <w:sz w:val="24"/>
                  <w:szCs w:val="24"/>
                  <w:lang w:eastAsia="en-AU"/>
                </w:rPr>
                <w:t>Service Desk Request</w:t>
              </w:r>
            </w:hyperlink>
          </w:p>
        </w:tc>
        <w:tc>
          <w:tcPr>
            <w:tcW w:w="0" w:type="auto"/>
            <w:hideMark/>
          </w:tcPr>
          <w:p w14:paraId="2B22456C"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 xml:space="preserve">Leave is unpaid. If charged for make-up pay, claim reimbursement via </w:t>
            </w:r>
            <w:hyperlink r:id="rId142" w:history="1">
              <w:r w:rsidRPr="00371B75">
                <w:rPr>
                  <w:rFonts w:ascii="VIC-Regular" w:eastAsia="Times New Roman" w:hAnsi="VIC-Regular" w:cs="Times New Roman"/>
                  <w:color w:val="323E4F" w:themeColor="text2" w:themeShade="BF"/>
                  <w:sz w:val="24"/>
                  <w:szCs w:val="24"/>
                  <w:lang w:eastAsia="en-AU"/>
                </w:rPr>
                <w:t>Service Desk Request</w:t>
              </w:r>
            </w:hyperlink>
          </w:p>
        </w:tc>
      </w:tr>
      <w:tr w:rsidR="0096466B" w:rsidRPr="00DE5882" w14:paraId="06D713D8" w14:textId="77777777" w:rsidTr="003243F4">
        <w:tc>
          <w:tcPr>
            <w:tcW w:w="2041" w:type="pct"/>
            <w:hideMark/>
          </w:tcPr>
          <w:p w14:paraId="67AEB4E3"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Annual Leave</w:t>
            </w:r>
          </w:p>
        </w:tc>
        <w:tc>
          <w:tcPr>
            <w:tcW w:w="876" w:type="pct"/>
            <w:hideMark/>
          </w:tcPr>
          <w:p w14:paraId="345E4959"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2030AFDA"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r>
      <w:tr w:rsidR="0096466B" w:rsidRPr="00DE5882" w14:paraId="2B0B7062" w14:textId="77777777" w:rsidTr="003243F4">
        <w:tc>
          <w:tcPr>
            <w:tcW w:w="2041" w:type="pct"/>
            <w:hideMark/>
          </w:tcPr>
          <w:p w14:paraId="0420EA30" w14:textId="77777777" w:rsidR="0096466B" w:rsidRPr="00371B75"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All other relief No reimbursement*</w:t>
            </w:r>
          </w:p>
        </w:tc>
        <w:tc>
          <w:tcPr>
            <w:tcW w:w="876" w:type="pct"/>
            <w:hideMark/>
          </w:tcPr>
          <w:p w14:paraId="7DC4E70F"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c>
          <w:tcPr>
            <w:tcW w:w="0" w:type="auto"/>
            <w:hideMark/>
          </w:tcPr>
          <w:p w14:paraId="05E1306D" w14:textId="77777777" w:rsidR="0096466B" w:rsidRPr="00371B75"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371B75">
              <w:rPr>
                <w:rFonts w:ascii="VIC-Regular" w:eastAsia="Times New Roman" w:hAnsi="VIC-Regular" w:cs="Times New Roman"/>
                <w:color w:val="323E4F" w:themeColor="text2" w:themeShade="BF"/>
                <w:sz w:val="24"/>
                <w:szCs w:val="24"/>
                <w:lang w:eastAsia="en-AU"/>
              </w:rPr>
              <w:t>No reimbursement*</w:t>
            </w:r>
          </w:p>
        </w:tc>
      </w:tr>
    </w:tbl>
    <w:p w14:paraId="70E32E9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*Funding of up to 30 days already funded in SRP.</w:t>
      </w:r>
    </w:p>
    <w:p w14:paraId="567EA879" w14:textId="6962EB19"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 Identify replacement through the leave portal on the SRP website to claim leave for </w:t>
      </w:r>
      <w:r w:rsidR="00745DC1" w:rsidRPr="00DE5882">
        <w:rPr>
          <w:rFonts w:ascii="VIC-Regular" w:eastAsia="Times New Roman" w:hAnsi="VIC-Regular" w:cs="Times New Roman"/>
          <w:color w:val="011A3C"/>
          <w:sz w:val="24"/>
          <w:szCs w:val="24"/>
          <w:lang w:val="en" w:eastAsia="en-AU"/>
        </w:rPr>
        <w:t>the holiday</w:t>
      </w:r>
      <w:r w:rsidRPr="00DE5882">
        <w:rPr>
          <w:rFonts w:ascii="VIC-Regular" w:eastAsia="Times New Roman" w:hAnsi="VIC-Regular" w:cs="Times New Roman"/>
          <w:color w:val="011A3C"/>
          <w:sz w:val="24"/>
          <w:szCs w:val="24"/>
          <w:lang w:val="en" w:eastAsia="en-AU"/>
        </w:rPr>
        <w:t xml:space="preserve"> period.</w:t>
      </w:r>
    </w:p>
    <w:p w14:paraId="54121986"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Defence Force leave</w:t>
      </w:r>
    </w:p>
    <w:p w14:paraId="556A154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Defence Force leave is unpaid; some teachers on Defence Force leave may receive make-up pay to cover the difference between their Defence Force and the Department’s salary. Schools are to be fully reimbursed for this amount. To claim reimbursement, a </w:t>
      </w:r>
      <w:hyperlink r:id="rId143" w:history="1">
        <w:r w:rsidRPr="00DE5882">
          <w:rPr>
            <w:rFonts w:ascii="VIC-Regular" w:eastAsia="Times New Roman" w:hAnsi="VIC-Regular" w:cs="Times New Roman"/>
            <w:color w:val="011A3C"/>
            <w:sz w:val="24"/>
            <w:szCs w:val="24"/>
            <w:lang w:val="en" w:eastAsia="en-AU"/>
          </w:rPr>
          <w:t>Service Desk Request</w:t>
        </w:r>
      </w:hyperlink>
      <w:r w:rsidRPr="00DE5882">
        <w:rPr>
          <w:rFonts w:ascii="VIC-Regular" w:eastAsia="Times New Roman" w:hAnsi="VIC-Regular" w:cs="Times New Roman"/>
          <w:color w:val="011A3C"/>
          <w:sz w:val="24"/>
          <w:szCs w:val="24"/>
          <w:lang w:val="en" w:eastAsia="en-AU"/>
        </w:rPr>
        <w:t xml:space="preserve"> should be submitted to the Schools Finance and Resources Branch.</w:t>
      </w:r>
    </w:p>
    <w:p w14:paraId="61BF185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more information on Defence Force Leave refer to </w:t>
      </w:r>
      <w:hyperlink r:id="rId144" w:history="1">
        <w:r w:rsidRPr="00DE5882">
          <w:rPr>
            <w:rFonts w:ascii="VIC-Regular" w:eastAsia="Times New Roman" w:hAnsi="VIC-Regular" w:cs="Times New Roman"/>
            <w:color w:val="011A3C"/>
            <w:sz w:val="24"/>
            <w:szCs w:val="24"/>
            <w:lang w:val="en" w:eastAsia="en-AU"/>
          </w:rPr>
          <w:t>Leave for Defence Reserve Service</w:t>
        </w:r>
      </w:hyperlink>
      <w:r w:rsidRPr="00DE5882">
        <w:rPr>
          <w:rFonts w:ascii="VIC-Regular" w:eastAsia="Times New Roman" w:hAnsi="VIC-Regular" w:cs="Times New Roman"/>
          <w:color w:val="011A3C"/>
          <w:sz w:val="24"/>
          <w:szCs w:val="24"/>
          <w:lang w:val="en" w:eastAsia="en-AU"/>
        </w:rPr>
        <w:t>.</w:t>
      </w:r>
    </w:p>
    <w:p w14:paraId="7B158962"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lastRenderedPageBreak/>
        <w:t>Long-term leave</w:t>
      </w:r>
    </w:p>
    <w:p w14:paraId="0444754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During periods of extended paid leave for teachers, such as long service leave, there is normally an additional salary cost against eduPay. In addition to the salary of the teacher on leave, replacement costs arise from the appointment of fixed-term staff, payment of higher duties, time fraction increases or special payments.</w:t>
      </w:r>
    </w:p>
    <w:p w14:paraId="515313CE" w14:textId="12E2148C"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Funds to meet these extra costs are not included in the SRP due to the highly variable impact of extended leave on individual schools. In these instances, separate administrative arrangements are in place for funding to be provided for replacement costs when the </w:t>
      </w:r>
      <w:r w:rsidR="00745DC1">
        <w:rPr>
          <w:rFonts w:ascii="VIC-Regular" w:eastAsia="Times New Roman" w:hAnsi="VIC-Regular" w:cs="Times New Roman"/>
          <w:color w:val="011A3C"/>
          <w:sz w:val="24"/>
          <w:szCs w:val="24"/>
          <w:lang w:val="en" w:eastAsia="en-AU"/>
        </w:rPr>
        <w:t xml:space="preserve">actual </w:t>
      </w:r>
      <w:r w:rsidRPr="00DE5882">
        <w:rPr>
          <w:rFonts w:ascii="VIC-Regular" w:eastAsia="Times New Roman" w:hAnsi="VIC-Regular" w:cs="Times New Roman"/>
          <w:color w:val="011A3C"/>
          <w:sz w:val="24"/>
          <w:szCs w:val="24"/>
          <w:lang w:val="en" w:eastAsia="en-AU"/>
        </w:rPr>
        <w:t>leave occurs.</w:t>
      </w:r>
    </w:p>
    <w:p w14:paraId="7B2BB3D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For more information on Short Term and Long Term vacancies, please refer to </w:t>
      </w:r>
      <w:hyperlink r:id="rId145" w:history="1">
        <w:r w:rsidRPr="00DE5882">
          <w:rPr>
            <w:rFonts w:ascii="VIC-Regular" w:eastAsia="Times New Roman" w:hAnsi="VIC-Regular" w:cs="Times New Roman"/>
            <w:color w:val="011A3C"/>
            <w:sz w:val="24"/>
            <w:szCs w:val="24"/>
            <w:lang w:val="en" w:eastAsia="en-AU"/>
          </w:rPr>
          <w:t>Recruitment in Schools</w:t>
        </w:r>
      </w:hyperlink>
      <w:r w:rsidRPr="00DE5882">
        <w:rPr>
          <w:rFonts w:ascii="VIC-Regular" w:eastAsia="Times New Roman" w:hAnsi="VIC-Regular" w:cs="Times New Roman"/>
          <w:color w:val="011A3C"/>
          <w:sz w:val="24"/>
          <w:szCs w:val="24"/>
          <w:lang w:val="en" w:eastAsia="en-AU"/>
        </w:rPr>
        <w:t xml:space="preserve"> guidelines.</w:t>
      </w:r>
    </w:p>
    <w:p w14:paraId="569EBEB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w:t>
      </w:r>
      <w:hyperlink r:id="rId146" w:history="1">
        <w:r w:rsidRPr="00DE5882">
          <w:rPr>
            <w:rFonts w:ascii="VIC-Regular" w:eastAsia="Times New Roman" w:hAnsi="VIC-Regular" w:cs="Times New Roman"/>
            <w:color w:val="011A3C"/>
            <w:sz w:val="24"/>
            <w:szCs w:val="24"/>
            <w:lang w:val="en" w:eastAsia="en-AU"/>
          </w:rPr>
          <w:t>Casual Relief Teachers</w:t>
        </w:r>
      </w:hyperlink>
      <w:r w:rsidRPr="00DE5882">
        <w:rPr>
          <w:rFonts w:ascii="VIC-Regular" w:eastAsia="Times New Roman" w:hAnsi="VIC-Regular" w:cs="Times New Roman"/>
          <w:color w:val="011A3C"/>
          <w:sz w:val="24"/>
          <w:szCs w:val="24"/>
          <w:lang w:val="en" w:eastAsia="en-AU"/>
        </w:rPr>
        <w:t> policy.</w:t>
      </w:r>
    </w:p>
    <w:p w14:paraId="2307E95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funding arrangements operate for long-term leave over 30 days, including long-service leave, paid parental absences e.g. maternity leave, partner, other paid parental, Workers’ Compensation leave, Transport Accident Commission Leave and long-term sick leave:</w:t>
      </w:r>
    </w:p>
    <w:p w14:paraId="0190A866" w14:textId="77777777" w:rsidR="0096466B" w:rsidRPr="00DE5882" w:rsidRDefault="0096466B" w:rsidP="003243F4">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Classroom teachers on long-term leave are charged outside the school’s SRP during the period of their leave, up to a salary equivalent of a classroom teacher CT1-3.</w:t>
      </w:r>
    </w:p>
    <w:p w14:paraId="2598FE17" w14:textId="77777777" w:rsidR="0096466B" w:rsidRPr="00DE5882" w:rsidRDefault="0096466B" w:rsidP="003243F4">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promotion level staff, the amount charged outside the SRP will equate to a classroom teacher CT1-3 plus the higher duties replacement cost.</w:t>
      </w:r>
    </w:p>
    <w:p w14:paraId="79587233" w14:textId="77777777" w:rsidR="0096466B" w:rsidRPr="00DE5882" w:rsidRDefault="0096466B" w:rsidP="003243F4">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the principal and education support staff, the whole of the salary will be charged outside the SRP during the period of leave.</w:t>
      </w:r>
    </w:p>
    <w:p w14:paraId="5121FC8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Under this arrangement, long-term leave will be charged outside the budget automatically when the leave occurs. The model allows budget flexibility for schools that may choose not to replace directly, who replace at lower cost, or </w:t>
      </w:r>
      <w:r w:rsidRPr="00DE5882">
        <w:rPr>
          <w:rFonts w:ascii="VIC-Regular" w:eastAsia="Times New Roman" w:hAnsi="VIC-Regular" w:cs="Times New Roman"/>
          <w:color w:val="011A3C"/>
          <w:sz w:val="24"/>
          <w:szCs w:val="24"/>
          <w:lang w:val="en" w:eastAsia="en-AU"/>
        </w:rPr>
        <w:lastRenderedPageBreak/>
        <w:t>who replace using a combination of means such as special payments and time fraction changes.</w:t>
      </w:r>
    </w:p>
    <w:p w14:paraId="1FE2DD15"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Long term leave support scheme premium</w:t>
      </w:r>
    </w:p>
    <w:p w14:paraId="5D482E0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long-term leave support scheme operates to support schools in the management of leave costs for both teachers and Education Support Officers. The scheme effectively provides for schools to contribute a fixed annual premium towards the state-wide cost, rather than deal individually with potentially significant unplanned leave costs. The annual premium is displayed as a deduction in the cash section of a school’s </w:t>
      </w:r>
      <w:hyperlink r:id="rId147" w:history="1">
        <w:r w:rsidRPr="00DE5882">
          <w:rPr>
            <w:rFonts w:ascii="VIC-Regular" w:eastAsia="Times New Roman" w:hAnsi="VIC-Regular" w:cs="Times New Roman"/>
            <w:color w:val="011A3C"/>
            <w:sz w:val="24"/>
            <w:szCs w:val="24"/>
            <w:lang w:val="en" w:eastAsia="en-AU"/>
          </w:rPr>
          <w:t>SRP management report</w:t>
        </w:r>
      </w:hyperlink>
      <w:r w:rsidRPr="00DE5882">
        <w:rPr>
          <w:rFonts w:ascii="VIC-Regular" w:eastAsia="Times New Roman" w:hAnsi="VIC-Regular" w:cs="Times New Roman"/>
          <w:color w:val="011A3C"/>
          <w:sz w:val="24"/>
          <w:szCs w:val="24"/>
          <w:lang w:val="en" w:eastAsia="en-AU"/>
        </w:rPr>
        <w:t>.</w:t>
      </w:r>
    </w:p>
    <w:p w14:paraId="351A42EB" w14:textId="063AF902" w:rsidR="0096466B" w:rsidRPr="003243F4" w:rsidRDefault="0096466B" w:rsidP="0096466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Long term leave support scheme rates 202</w:t>
      </w:r>
      <w:r w:rsidR="00745DC1">
        <w:rPr>
          <w:rFonts w:ascii="VIC-Regular" w:eastAsia="Times New Roman" w:hAnsi="VIC-Regular" w:cs="Times New Roman"/>
          <w:b/>
          <w:bCs/>
          <w:color w:val="011A3C"/>
          <w:sz w:val="24"/>
          <w:szCs w:val="24"/>
          <w:lang w:val="en" w:eastAsia="en-AU"/>
        </w:rPr>
        <w:t>1</w:t>
      </w:r>
    </w:p>
    <w:p w14:paraId="4B8607B0" w14:textId="1F6F7368" w:rsidR="0096466B" w:rsidRPr="00DE5882" w:rsidRDefault="0096466B" w:rsidP="003243F4">
      <w:pPr>
        <w:numPr>
          <w:ilvl w:val="0"/>
          <w:numId w:val="1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Index-model specialist schools: $ per student (included in index): </w:t>
      </w:r>
      <w:r w:rsidR="00745DC1">
        <w:rPr>
          <w:rFonts w:ascii="VIC-Regular" w:eastAsia="Times New Roman" w:hAnsi="VIC-Regular" w:cs="Times New Roman"/>
          <w:color w:val="011A3C"/>
          <w:sz w:val="24"/>
          <w:szCs w:val="24"/>
          <w:lang w:val="en" w:eastAsia="en-AU"/>
        </w:rPr>
        <w:t>$154.35</w:t>
      </w:r>
    </w:p>
    <w:p w14:paraId="6FE1CE5D" w14:textId="11AB20AB" w:rsidR="0096466B" w:rsidRPr="00DE5882" w:rsidRDefault="0096466B" w:rsidP="003243F4">
      <w:pPr>
        <w:numPr>
          <w:ilvl w:val="0"/>
          <w:numId w:val="1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All other schools: % of the total credit component in the SRP: </w:t>
      </w:r>
      <w:r w:rsidR="00745DC1">
        <w:rPr>
          <w:rFonts w:ascii="VIC-Regular" w:eastAsia="Times New Roman" w:hAnsi="VIC-Regular" w:cs="Times New Roman"/>
          <w:color w:val="011A3C"/>
          <w:sz w:val="24"/>
          <w:szCs w:val="24"/>
          <w:lang w:val="en" w:eastAsia="en-AU"/>
        </w:rPr>
        <w:t xml:space="preserve"> 1.34%</w:t>
      </w:r>
    </w:p>
    <w:p w14:paraId="44B6C769"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Leave capping</w:t>
      </w:r>
    </w:p>
    <w:p w14:paraId="330CEA4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funding arrangements operate for leave where a credit reimbursement is made to the school.</w:t>
      </w:r>
    </w:p>
    <w:p w14:paraId="1184652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Classroom teachers on long-term leave are charged outside the school’s SRP during the period of their leave, up to a salary equivalent of a Classroom Teacher 1-3.</w:t>
      </w:r>
    </w:p>
    <w:p w14:paraId="1F2A892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promotion level staff, the amount charged outside the SRP will equate to a Classroom Teacher 1-3 plus the higher duties replacement cost. In the case of the school principal, education support staff, and allied health staff based in schools, the whole of the salary will be charged outside the SRP during the period of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3037"/>
        <w:gridCol w:w="2865"/>
      </w:tblGrid>
      <w:tr w:rsidR="0096466B" w:rsidRPr="00DE5882" w14:paraId="6FC5B22F" w14:textId="77777777" w:rsidTr="003243F4">
        <w:tc>
          <w:tcPr>
            <w:tcW w:w="0" w:type="auto"/>
            <w:gridSpan w:val="3"/>
            <w:vAlign w:val="center"/>
            <w:hideMark/>
          </w:tcPr>
          <w:p w14:paraId="3DDD59AA" w14:textId="77777777" w:rsidR="0096466B" w:rsidRPr="00DE5882" w:rsidRDefault="0096466B" w:rsidP="003243F4">
            <w:pPr>
              <w:spacing w:before="100" w:beforeAutospacing="1" w:after="100" w:afterAutospacing="1" w:line="360" w:lineRule="atLeast"/>
              <w:rPr>
                <w:rFonts w:ascii="VIC-Bold" w:eastAsia="Times New Roman" w:hAnsi="VIC-Bold" w:cs="Times New Roman"/>
                <w:sz w:val="24"/>
                <w:szCs w:val="24"/>
                <w:lang w:eastAsia="en-AU"/>
              </w:rPr>
            </w:pPr>
            <w:r w:rsidRPr="003243F4">
              <w:rPr>
                <w:rFonts w:ascii="VIC-Regular" w:eastAsia="Times New Roman" w:hAnsi="VIC-Regular" w:cs="Times New Roman"/>
                <w:b/>
                <w:bCs/>
                <w:color w:val="011A3C"/>
                <w:sz w:val="24"/>
                <w:szCs w:val="24"/>
                <w:lang w:val="en" w:eastAsia="en-AU"/>
              </w:rPr>
              <w:t>Leave capping</w:t>
            </w:r>
          </w:p>
        </w:tc>
      </w:tr>
      <w:tr w:rsidR="000B1FF1" w:rsidRPr="000B1FF1" w14:paraId="3909E849" w14:textId="77777777" w:rsidTr="003243F4">
        <w:tc>
          <w:tcPr>
            <w:tcW w:w="1727" w:type="pct"/>
            <w:hideMark/>
          </w:tcPr>
          <w:p w14:paraId="0E51B6B4"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Salary of person on leave</w:t>
            </w:r>
          </w:p>
        </w:tc>
        <w:tc>
          <w:tcPr>
            <w:tcW w:w="3273" w:type="pct"/>
            <w:gridSpan w:val="2"/>
            <w:hideMark/>
          </w:tcPr>
          <w:p w14:paraId="6FDAD428" w14:textId="77777777" w:rsidR="0096466B" w:rsidRPr="000B1FF1" w:rsidRDefault="0096466B" w:rsidP="003243F4">
            <w:pPr>
              <w:spacing w:after="0" w:line="240" w:lineRule="auto"/>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Equivalent value of a person's salary charged outside the SRP</w:t>
            </w:r>
          </w:p>
        </w:tc>
      </w:tr>
      <w:tr w:rsidR="000B1FF1" w:rsidRPr="000B1FF1" w14:paraId="26C8657B" w14:textId="77777777" w:rsidTr="003243F4">
        <w:tc>
          <w:tcPr>
            <w:tcW w:w="1727" w:type="pct"/>
            <w:hideMark/>
          </w:tcPr>
          <w:p w14:paraId="4C2105C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Principal</w:t>
            </w:r>
          </w:p>
        </w:tc>
        <w:tc>
          <w:tcPr>
            <w:tcW w:w="3273" w:type="pct"/>
            <w:gridSpan w:val="2"/>
            <w:hideMark/>
          </w:tcPr>
          <w:p w14:paraId="29E73AD2"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Full salary</w:t>
            </w:r>
          </w:p>
        </w:tc>
      </w:tr>
      <w:tr w:rsidR="000B1FF1" w:rsidRPr="000B1FF1" w14:paraId="74E19BF7" w14:textId="77777777" w:rsidTr="003243F4">
        <w:tc>
          <w:tcPr>
            <w:tcW w:w="1727" w:type="pct"/>
            <w:hideMark/>
          </w:tcPr>
          <w:p w14:paraId="70E9D554"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lastRenderedPageBreak/>
              <w:t>Assistant Principal</w:t>
            </w:r>
          </w:p>
        </w:tc>
        <w:tc>
          <w:tcPr>
            <w:tcW w:w="3273" w:type="pct"/>
            <w:gridSpan w:val="2"/>
            <w:hideMark/>
          </w:tcPr>
          <w:p w14:paraId="55A9F9D1"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1-3 + HD gap (base of Assistant Principal range minus Classroom Teacher 2-6)</w:t>
            </w:r>
          </w:p>
        </w:tc>
      </w:tr>
      <w:tr w:rsidR="000B1FF1" w:rsidRPr="000B1FF1" w14:paraId="42AC3231" w14:textId="77777777" w:rsidTr="003243F4">
        <w:tc>
          <w:tcPr>
            <w:tcW w:w="1727" w:type="pct"/>
            <w:hideMark/>
          </w:tcPr>
          <w:p w14:paraId="0E295928"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Leading Teacher or Learning Specialist</w:t>
            </w:r>
          </w:p>
        </w:tc>
        <w:tc>
          <w:tcPr>
            <w:tcW w:w="3273" w:type="pct"/>
            <w:gridSpan w:val="2"/>
            <w:hideMark/>
          </w:tcPr>
          <w:p w14:paraId="634E01E9"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1-3 + HD gap (base of Leading Teacher range minus Classroom Teacher 2-6)</w:t>
            </w:r>
          </w:p>
        </w:tc>
      </w:tr>
      <w:tr w:rsidR="000B1FF1" w:rsidRPr="000B1FF1" w14:paraId="6660A03D" w14:textId="77777777" w:rsidTr="003243F4">
        <w:tc>
          <w:tcPr>
            <w:tcW w:w="1727" w:type="pct"/>
            <w:hideMark/>
          </w:tcPr>
          <w:p w14:paraId="630E66E1" w14:textId="77777777" w:rsidR="0096466B" w:rsidRPr="000B1FF1" w:rsidRDefault="0096466B" w:rsidP="003243F4">
            <w:pPr>
              <w:spacing w:after="0" w:line="240" w:lineRule="auto"/>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Levels 3-5</w:t>
            </w:r>
            <w:r w:rsidRPr="000B1FF1">
              <w:rPr>
                <w:rFonts w:ascii="VIC-Regular" w:eastAsia="Times New Roman" w:hAnsi="VIC-Regular" w:cs="Times New Roman"/>
                <w:color w:val="323E4F" w:themeColor="text2" w:themeShade="BF"/>
                <w:sz w:val="24"/>
                <w:szCs w:val="24"/>
                <w:lang w:eastAsia="en-AU"/>
              </w:rPr>
              <w:br/>
              <w:t>Classroom Teacher 2 Levels 1-6</w:t>
            </w:r>
          </w:p>
        </w:tc>
        <w:tc>
          <w:tcPr>
            <w:tcW w:w="3273" w:type="pct"/>
            <w:gridSpan w:val="2"/>
            <w:hideMark/>
          </w:tcPr>
          <w:p w14:paraId="3A8DA0DA"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 3</w:t>
            </w:r>
          </w:p>
        </w:tc>
      </w:tr>
      <w:tr w:rsidR="000B1FF1" w:rsidRPr="000B1FF1" w14:paraId="76566FCC" w14:textId="77777777" w:rsidTr="003243F4">
        <w:tc>
          <w:tcPr>
            <w:tcW w:w="1727" w:type="pct"/>
            <w:hideMark/>
          </w:tcPr>
          <w:p w14:paraId="23F02438"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 2</w:t>
            </w:r>
          </w:p>
        </w:tc>
        <w:tc>
          <w:tcPr>
            <w:tcW w:w="3273" w:type="pct"/>
            <w:gridSpan w:val="2"/>
            <w:hideMark/>
          </w:tcPr>
          <w:p w14:paraId="4EAA4CF0"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1-2</w:t>
            </w:r>
          </w:p>
        </w:tc>
      </w:tr>
      <w:tr w:rsidR="000B1FF1" w:rsidRPr="000B1FF1" w14:paraId="55DA4C2F" w14:textId="77777777" w:rsidTr="003243F4">
        <w:tc>
          <w:tcPr>
            <w:tcW w:w="1727" w:type="pct"/>
            <w:hideMark/>
          </w:tcPr>
          <w:p w14:paraId="6D0BD26D"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 Level 1</w:t>
            </w:r>
          </w:p>
        </w:tc>
        <w:tc>
          <w:tcPr>
            <w:tcW w:w="3273" w:type="pct"/>
            <w:gridSpan w:val="2"/>
            <w:hideMark/>
          </w:tcPr>
          <w:p w14:paraId="7994A06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Classroom Teacher 1-1</w:t>
            </w:r>
          </w:p>
        </w:tc>
      </w:tr>
      <w:tr w:rsidR="000B1FF1" w:rsidRPr="000B1FF1" w14:paraId="6DAFB51B" w14:textId="77777777" w:rsidTr="003243F4">
        <w:tc>
          <w:tcPr>
            <w:tcW w:w="1727" w:type="pct"/>
            <w:hideMark/>
          </w:tcPr>
          <w:p w14:paraId="32A98CE7"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Education Support Officers</w:t>
            </w:r>
          </w:p>
        </w:tc>
        <w:tc>
          <w:tcPr>
            <w:tcW w:w="3273" w:type="pct"/>
            <w:gridSpan w:val="2"/>
            <w:hideMark/>
          </w:tcPr>
          <w:p w14:paraId="2D8F4DFD"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Full salary</w:t>
            </w:r>
          </w:p>
        </w:tc>
      </w:tr>
      <w:tr w:rsidR="000B1FF1" w:rsidRPr="000B1FF1" w14:paraId="07E9F6AC" w14:textId="77777777" w:rsidTr="003243F4">
        <w:tc>
          <w:tcPr>
            <w:tcW w:w="1727" w:type="pct"/>
            <w:hideMark/>
          </w:tcPr>
          <w:p w14:paraId="08C3B09E"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VPS and Allied Health</w:t>
            </w:r>
          </w:p>
        </w:tc>
        <w:tc>
          <w:tcPr>
            <w:tcW w:w="3273" w:type="pct"/>
            <w:gridSpan w:val="2"/>
            <w:hideMark/>
          </w:tcPr>
          <w:p w14:paraId="565B4EC6"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Full Salary</w:t>
            </w:r>
          </w:p>
        </w:tc>
      </w:tr>
      <w:tr w:rsidR="000B1FF1" w:rsidRPr="000B1FF1" w14:paraId="296C0A4D" w14:textId="77777777" w:rsidTr="003243F4">
        <w:tc>
          <w:tcPr>
            <w:tcW w:w="0" w:type="auto"/>
            <w:gridSpan w:val="3"/>
            <w:vAlign w:val="center"/>
            <w:hideMark/>
          </w:tcPr>
          <w:p w14:paraId="35A8D7D0"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Example: Funding for a Leading Teacher 3.1 on long-service leave more than 30 days</w:t>
            </w:r>
          </w:p>
        </w:tc>
      </w:tr>
      <w:tr w:rsidR="000B1FF1" w:rsidRPr="000B1FF1" w14:paraId="37AC05EF" w14:textId="77777777" w:rsidTr="003243F4">
        <w:tc>
          <w:tcPr>
            <w:tcW w:w="1727" w:type="pct"/>
            <w:hideMark/>
          </w:tcPr>
          <w:p w14:paraId="30D3E73E"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Regular Fortnightly Charge</w:t>
            </w:r>
          </w:p>
        </w:tc>
        <w:tc>
          <w:tcPr>
            <w:tcW w:w="1684" w:type="pct"/>
            <w:hideMark/>
          </w:tcPr>
          <w:p w14:paraId="4C5B0300" w14:textId="6D110953"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hideMark/>
          </w:tcPr>
          <w:p w14:paraId="5A8EE9CB"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0B1FF1" w:rsidRPr="000B1FF1" w14:paraId="60243ED7" w14:textId="77777777" w:rsidTr="003243F4">
        <w:tc>
          <w:tcPr>
            <w:tcW w:w="1727" w:type="pct"/>
            <w:hideMark/>
          </w:tcPr>
          <w:p w14:paraId="5D6C7EF5" w14:textId="77777777" w:rsidR="0096466B" w:rsidRPr="000B1FF1" w:rsidRDefault="0096466B" w:rsidP="00ED4312">
            <w:pPr>
              <w:spacing w:after="0" w:line="360" w:lineRule="atLeast"/>
              <w:rPr>
                <w:rFonts w:ascii="Times New Roman" w:eastAsia="Times New Roman" w:hAnsi="Times New Roman" w:cs="Times New Roman"/>
                <w:color w:val="323E4F" w:themeColor="text2" w:themeShade="BF"/>
                <w:sz w:val="20"/>
                <w:szCs w:val="20"/>
                <w:lang w:eastAsia="en-AU"/>
              </w:rPr>
            </w:pPr>
          </w:p>
        </w:tc>
        <w:tc>
          <w:tcPr>
            <w:tcW w:w="1684" w:type="pct"/>
            <w:hideMark/>
          </w:tcPr>
          <w:p w14:paraId="264F74BE"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Salary Charge</w:t>
            </w:r>
          </w:p>
        </w:tc>
        <w:tc>
          <w:tcPr>
            <w:tcW w:w="0" w:type="auto"/>
            <w:hideMark/>
          </w:tcPr>
          <w:p w14:paraId="513E5A8A"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SRP Saving</w:t>
            </w:r>
          </w:p>
        </w:tc>
      </w:tr>
      <w:tr w:rsidR="000B1FF1" w:rsidRPr="000B1FF1" w14:paraId="73B180F7" w14:textId="77777777" w:rsidTr="003243F4">
        <w:tc>
          <w:tcPr>
            <w:tcW w:w="1727" w:type="pct"/>
            <w:hideMark/>
          </w:tcPr>
          <w:p w14:paraId="698BAEB8"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Outside Budget</w:t>
            </w:r>
          </w:p>
        </w:tc>
        <w:tc>
          <w:tcPr>
            <w:tcW w:w="1684" w:type="pct"/>
            <w:hideMark/>
          </w:tcPr>
          <w:p w14:paraId="2EBAC946" w14:textId="419FA0C0"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c>
          <w:tcPr>
            <w:tcW w:w="0" w:type="auto"/>
            <w:hideMark/>
          </w:tcPr>
          <w:p w14:paraId="4EC842A5" w14:textId="23E6B94C"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r>
      <w:tr w:rsidR="000B1FF1" w:rsidRPr="000B1FF1" w14:paraId="622DF4A4" w14:textId="77777777" w:rsidTr="003243F4">
        <w:tc>
          <w:tcPr>
            <w:tcW w:w="1727" w:type="pct"/>
            <w:hideMark/>
          </w:tcPr>
          <w:p w14:paraId="7BAD7971"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Inside Budget</w:t>
            </w:r>
          </w:p>
        </w:tc>
        <w:tc>
          <w:tcPr>
            <w:tcW w:w="1684" w:type="pct"/>
            <w:hideMark/>
          </w:tcPr>
          <w:p w14:paraId="4918CBAD" w14:textId="655F6064"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$1,170.17</w:t>
            </w:r>
          </w:p>
        </w:tc>
        <w:tc>
          <w:tcPr>
            <w:tcW w:w="0" w:type="auto"/>
            <w:hideMark/>
          </w:tcPr>
          <w:p w14:paraId="574A8DC7"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96466B" w:rsidRPr="000B1FF1" w14:paraId="004B32D8" w14:textId="77777777" w:rsidTr="003243F4">
        <w:tc>
          <w:tcPr>
            <w:tcW w:w="1727" w:type="pct"/>
            <w:hideMark/>
          </w:tcPr>
          <w:p w14:paraId="180F2041"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TOTAL</w:t>
            </w:r>
          </w:p>
        </w:tc>
        <w:tc>
          <w:tcPr>
            <w:tcW w:w="1684" w:type="pct"/>
            <w:hideMark/>
          </w:tcPr>
          <w:p w14:paraId="17552DF0" w14:textId="1701B69F"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hideMark/>
          </w:tcPr>
          <w:p w14:paraId="39D01F3D" w14:textId="37C7A085"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r>
    </w:tbl>
    <w:p w14:paraId="5FEA271D" w14:textId="77777777" w:rsidR="0096466B" w:rsidRPr="000B1FF1" w:rsidRDefault="0096466B" w:rsidP="0096466B">
      <w:pPr>
        <w:spacing w:after="0" w:line="360" w:lineRule="atLeast"/>
        <w:rPr>
          <w:rFonts w:ascii="VIC-Regular" w:eastAsia="Times New Roman" w:hAnsi="VIC-Regular"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7"/>
        <w:gridCol w:w="2709"/>
        <w:gridCol w:w="1670"/>
      </w:tblGrid>
      <w:tr w:rsidR="000B1FF1" w:rsidRPr="000B1FF1" w14:paraId="461658AA" w14:textId="77777777" w:rsidTr="003243F4">
        <w:tc>
          <w:tcPr>
            <w:tcW w:w="0" w:type="auto"/>
            <w:gridSpan w:val="3"/>
            <w:tcBorders>
              <w:top w:val="nil"/>
              <w:left w:val="nil"/>
              <w:bottom w:val="single" w:sz="4" w:space="0" w:color="auto"/>
              <w:right w:val="nil"/>
            </w:tcBorders>
            <w:vAlign w:val="center"/>
            <w:hideMark/>
          </w:tcPr>
          <w:p w14:paraId="6A1D8ECD" w14:textId="77777777" w:rsidR="00E72D67" w:rsidRPr="000B1FF1" w:rsidRDefault="00E72D67"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p>
          <w:p w14:paraId="34EB688A" w14:textId="5CBD6D78"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Example: Funding for a Leading Teacher 3.1 on half pay long-service leave more than 30 days</w:t>
            </w:r>
          </w:p>
        </w:tc>
      </w:tr>
      <w:tr w:rsidR="000B1FF1" w:rsidRPr="000B1FF1" w14:paraId="273A5ECA" w14:textId="77777777" w:rsidTr="003243F4">
        <w:trPr>
          <w:trHeight w:val="547"/>
        </w:trPr>
        <w:tc>
          <w:tcPr>
            <w:tcW w:w="0" w:type="auto"/>
            <w:tcBorders>
              <w:top w:val="single" w:sz="4" w:space="0" w:color="auto"/>
            </w:tcBorders>
            <w:hideMark/>
          </w:tcPr>
          <w:p w14:paraId="62544620"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Regular Fortnightly Charge</w:t>
            </w:r>
          </w:p>
        </w:tc>
        <w:tc>
          <w:tcPr>
            <w:tcW w:w="0" w:type="auto"/>
            <w:tcBorders>
              <w:top w:val="single" w:sz="4" w:space="0" w:color="auto"/>
            </w:tcBorders>
            <w:hideMark/>
          </w:tcPr>
          <w:p w14:paraId="561327B2" w14:textId="0065CEFC"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tcBorders>
              <w:top w:val="single" w:sz="4" w:space="0" w:color="auto"/>
            </w:tcBorders>
            <w:hideMark/>
          </w:tcPr>
          <w:p w14:paraId="37E6AAFC"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0B1FF1" w:rsidRPr="000B1FF1" w14:paraId="54364892" w14:textId="77777777" w:rsidTr="003243F4">
        <w:tc>
          <w:tcPr>
            <w:tcW w:w="0" w:type="auto"/>
            <w:hideMark/>
          </w:tcPr>
          <w:p w14:paraId="05532BAD" w14:textId="77777777" w:rsidR="0096466B" w:rsidRPr="000B1FF1" w:rsidRDefault="0096466B" w:rsidP="00ED4312">
            <w:pPr>
              <w:spacing w:after="0" w:line="36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62BF397A"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Salary Charge</w:t>
            </w:r>
          </w:p>
        </w:tc>
        <w:tc>
          <w:tcPr>
            <w:tcW w:w="0" w:type="auto"/>
            <w:hideMark/>
          </w:tcPr>
          <w:p w14:paraId="5D0CEEE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SRP Saving</w:t>
            </w:r>
          </w:p>
        </w:tc>
      </w:tr>
      <w:tr w:rsidR="000B1FF1" w:rsidRPr="000B1FF1" w14:paraId="3DC01B4E" w14:textId="77777777" w:rsidTr="003243F4">
        <w:tc>
          <w:tcPr>
            <w:tcW w:w="0" w:type="auto"/>
            <w:hideMark/>
          </w:tcPr>
          <w:p w14:paraId="418AE068"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Regular Charge @ Half Pay</w:t>
            </w:r>
          </w:p>
        </w:tc>
        <w:tc>
          <w:tcPr>
            <w:tcW w:w="0" w:type="auto"/>
            <w:hideMark/>
          </w:tcPr>
          <w:p w14:paraId="07CFC7AE" w14:textId="5CC243A8"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$2,167.15</w:t>
            </w:r>
          </w:p>
        </w:tc>
        <w:tc>
          <w:tcPr>
            <w:tcW w:w="0" w:type="auto"/>
            <w:hideMark/>
          </w:tcPr>
          <w:p w14:paraId="492C2624" w14:textId="23AA6105"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$2,167.15</w:t>
            </w:r>
          </w:p>
        </w:tc>
      </w:tr>
      <w:tr w:rsidR="000B1FF1" w:rsidRPr="000B1FF1" w14:paraId="62D2EE66" w14:textId="77777777" w:rsidTr="003243F4">
        <w:tc>
          <w:tcPr>
            <w:tcW w:w="0" w:type="auto"/>
            <w:hideMark/>
          </w:tcPr>
          <w:p w14:paraId="0DE44C37"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Outside Budget</w:t>
            </w:r>
          </w:p>
        </w:tc>
        <w:tc>
          <w:tcPr>
            <w:tcW w:w="0" w:type="auto"/>
            <w:hideMark/>
          </w:tcPr>
          <w:p w14:paraId="0A4C9B65" w14:textId="5A58CEA3"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$996.98</w:t>
            </w:r>
          </w:p>
        </w:tc>
        <w:tc>
          <w:tcPr>
            <w:tcW w:w="0" w:type="auto"/>
            <w:hideMark/>
          </w:tcPr>
          <w:p w14:paraId="37F23B1F" w14:textId="1BFC2A8B"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$996.98</w:t>
            </w:r>
          </w:p>
        </w:tc>
      </w:tr>
      <w:tr w:rsidR="000B1FF1" w:rsidRPr="000B1FF1" w14:paraId="07188567" w14:textId="77777777" w:rsidTr="003243F4">
        <w:tc>
          <w:tcPr>
            <w:tcW w:w="0" w:type="auto"/>
            <w:hideMark/>
          </w:tcPr>
          <w:p w14:paraId="5110AC9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Inside Budget</w:t>
            </w:r>
          </w:p>
        </w:tc>
        <w:tc>
          <w:tcPr>
            <w:tcW w:w="0" w:type="auto"/>
            <w:hideMark/>
          </w:tcPr>
          <w:p w14:paraId="07BA58DB" w14:textId="33F8DC7B"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$1,170.17</w:t>
            </w:r>
          </w:p>
        </w:tc>
        <w:tc>
          <w:tcPr>
            <w:tcW w:w="0" w:type="auto"/>
            <w:hideMark/>
          </w:tcPr>
          <w:p w14:paraId="12EF72EC"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0B1FF1" w:rsidRPr="000B1FF1" w14:paraId="5C1609F7" w14:textId="77777777" w:rsidTr="003243F4">
        <w:tc>
          <w:tcPr>
            <w:tcW w:w="0" w:type="auto"/>
            <w:hideMark/>
          </w:tcPr>
          <w:p w14:paraId="52C286B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TOTAL</w:t>
            </w:r>
          </w:p>
        </w:tc>
        <w:tc>
          <w:tcPr>
            <w:tcW w:w="0" w:type="auto"/>
            <w:hideMark/>
          </w:tcPr>
          <w:p w14:paraId="0BB66968" w14:textId="6D2F272F"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$4,334.31</w:t>
            </w:r>
          </w:p>
        </w:tc>
        <w:tc>
          <w:tcPr>
            <w:tcW w:w="0" w:type="auto"/>
            <w:hideMark/>
          </w:tcPr>
          <w:p w14:paraId="6FF66F3A" w14:textId="44FF215F"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r>
      <w:tr w:rsidR="000B1FF1" w:rsidRPr="000B1FF1" w14:paraId="2F69E566" w14:textId="77777777" w:rsidTr="003243F4">
        <w:tc>
          <w:tcPr>
            <w:tcW w:w="0" w:type="auto"/>
            <w:gridSpan w:val="3"/>
            <w:vAlign w:val="center"/>
            <w:hideMark/>
          </w:tcPr>
          <w:p w14:paraId="54893959"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Calculation of saving</w:t>
            </w:r>
          </w:p>
        </w:tc>
      </w:tr>
      <w:tr w:rsidR="000B1FF1" w:rsidRPr="000B1FF1" w14:paraId="7B720611" w14:textId="77777777" w:rsidTr="003243F4">
        <w:tc>
          <w:tcPr>
            <w:tcW w:w="0" w:type="auto"/>
            <w:gridSpan w:val="2"/>
            <w:hideMark/>
          </w:tcPr>
          <w:p w14:paraId="0C923A46" w14:textId="0AB0178D"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Classroom Teacher 1-3: </w:t>
            </w:r>
            <w:r w:rsidR="00745DC1" w:rsidRPr="000B1FF1">
              <w:rPr>
                <w:rFonts w:ascii="VIC-Regular" w:eastAsia="Times New Roman" w:hAnsi="VIC-Regular" w:cs="Times New Roman"/>
                <w:color w:val="323E4F" w:themeColor="text2" w:themeShade="BF"/>
                <w:sz w:val="24"/>
                <w:szCs w:val="24"/>
                <w:lang w:eastAsia="en-AU"/>
              </w:rPr>
              <w:t xml:space="preserve">$77,474 / </w:t>
            </w:r>
            <w:r w:rsidRPr="000B1FF1">
              <w:rPr>
                <w:rFonts w:ascii="VIC-Regular" w:eastAsia="Times New Roman" w:hAnsi="VIC-Regular" w:cs="Times New Roman"/>
                <w:color w:val="323E4F" w:themeColor="text2" w:themeShade="BF"/>
                <w:sz w:val="24"/>
                <w:szCs w:val="24"/>
                <w:lang w:eastAsia="en-AU"/>
              </w:rPr>
              <w:t>/ 26.0893 fortnights</w:t>
            </w:r>
          </w:p>
        </w:tc>
        <w:tc>
          <w:tcPr>
            <w:tcW w:w="0" w:type="auto"/>
            <w:hideMark/>
          </w:tcPr>
          <w:p w14:paraId="60D23617" w14:textId="20842E21"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$2,969.57</w:t>
            </w:r>
          </w:p>
        </w:tc>
      </w:tr>
      <w:tr w:rsidR="000B1FF1" w:rsidRPr="000B1FF1" w14:paraId="687E29BF" w14:textId="77777777" w:rsidTr="003243F4">
        <w:tc>
          <w:tcPr>
            <w:tcW w:w="0" w:type="auto"/>
            <w:gridSpan w:val="2"/>
            <w:hideMark/>
          </w:tcPr>
          <w:p w14:paraId="605FA1BA" w14:textId="7E9B77B6"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lastRenderedPageBreak/>
              <w:t xml:space="preserve">Higher duties gap Classroom Teacher 2.6 </w:t>
            </w:r>
            <w:r w:rsidR="00745DC1" w:rsidRPr="000B1FF1">
              <w:rPr>
                <w:rFonts w:ascii="VIC-Regular" w:eastAsia="Times New Roman" w:hAnsi="VIC-Regular" w:cs="Times New Roman"/>
                <w:color w:val="323E4F" w:themeColor="text2" w:themeShade="BF"/>
                <w:sz w:val="24"/>
                <w:szCs w:val="24"/>
                <w:lang w:eastAsia="en-AU"/>
              </w:rPr>
              <w:t xml:space="preserve">($108,003) </w:t>
            </w:r>
            <w:r w:rsidRPr="000B1FF1">
              <w:rPr>
                <w:rFonts w:ascii="VIC-Regular" w:eastAsia="Times New Roman" w:hAnsi="VIC-Regular" w:cs="Times New Roman"/>
                <w:color w:val="323E4F" w:themeColor="text2" w:themeShade="BF"/>
                <w:sz w:val="24"/>
                <w:szCs w:val="24"/>
                <w:lang w:eastAsia="en-AU"/>
              </w:rPr>
              <w:t xml:space="preserve">to Leading Teacher 3.1 </w:t>
            </w:r>
            <w:r w:rsidR="00745DC1" w:rsidRPr="000B1FF1">
              <w:rPr>
                <w:rFonts w:ascii="VIC-Regular" w:eastAsia="Times New Roman" w:hAnsi="VIC-Regular" w:cs="Times New Roman"/>
                <w:color w:val="323E4F" w:themeColor="text2" w:themeShade="BF"/>
                <w:sz w:val="24"/>
                <w:szCs w:val="24"/>
                <w:lang w:eastAsia="en-AU"/>
              </w:rPr>
              <w:t xml:space="preserve">($113,079) = $4,334.31 </w:t>
            </w:r>
            <w:r w:rsidRPr="000B1FF1">
              <w:rPr>
                <w:rFonts w:ascii="VIC-Regular" w:eastAsia="Times New Roman" w:hAnsi="VIC-Regular" w:cs="Times New Roman"/>
                <w:color w:val="323E4F" w:themeColor="text2" w:themeShade="BF"/>
                <w:sz w:val="24"/>
                <w:szCs w:val="24"/>
                <w:lang w:eastAsia="en-AU"/>
              </w:rPr>
              <w:t>/ 26.0893 fortnights</w:t>
            </w:r>
          </w:p>
        </w:tc>
        <w:tc>
          <w:tcPr>
            <w:tcW w:w="0" w:type="auto"/>
            <w:hideMark/>
          </w:tcPr>
          <w:p w14:paraId="4FCC379C" w14:textId="2D4C6DD7"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$194.56</w:t>
            </w:r>
          </w:p>
        </w:tc>
      </w:tr>
      <w:tr w:rsidR="000B1FF1" w:rsidRPr="000B1FF1" w14:paraId="339E6F53" w14:textId="77777777" w:rsidTr="003243F4">
        <w:tc>
          <w:tcPr>
            <w:tcW w:w="0" w:type="auto"/>
            <w:gridSpan w:val="2"/>
            <w:hideMark/>
          </w:tcPr>
          <w:p w14:paraId="4B146891"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Saving to school for relief</w:t>
            </w:r>
          </w:p>
        </w:tc>
        <w:tc>
          <w:tcPr>
            <w:tcW w:w="0" w:type="auto"/>
            <w:hideMark/>
          </w:tcPr>
          <w:p w14:paraId="68FC56E5" w14:textId="681E9A29"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$3,164.13</w:t>
            </w:r>
          </w:p>
        </w:tc>
      </w:tr>
    </w:tbl>
    <w:p w14:paraId="60219EB7" w14:textId="790CF48D"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rates quoted above are relevant to salaries paid as at 1 </w:t>
      </w:r>
      <w:r w:rsidR="00745DC1" w:rsidRPr="00745DC1">
        <w:rPr>
          <w:rFonts w:ascii="VIC-Regular" w:eastAsia="Times New Roman" w:hAnsi="VIC-Regular" w:cs="Times New Roman"/>
          <w:color w:val="011A3C"/>
          <w:sz w:val="24"/>
          <w:szCs w:val="24"/>
          <w:lang w:val="en" w:eastAsia="en-AU"/>
        </w:rPr>
        <w:t>October</w:t>
      </w:r>
      <w:r w:rsidR="00745DC1" w:rsidRPr="00745DC1" w:rsidDel="00745DC1">
        <w:rPr>
          <w:rFonts w:ascii="VIC-Regular" w:eastAsia="Times New Roman" w:hAnsi="VIC-Regular" w:cs="Times New Roman"/>
          <w:color w:val="011A3C"/>
          <w:sz w:val="24"/>
          <w:szCs w:val="24"/>
          <w:lang w:val="en" w:eastAsia="en-AU"/>
        </w:rPr>
        <w:t xml:space="preserve"> </w:t>
      </w:r>
      <w:r w:rsidRPr="00DE5882">
        <w:rPr>
          <w:rFonts w:ascii="VIC-Regular" w:eastAsia="Times New Roman" w:hAnsi="VIC-Regular" w:cs="Times New Roman"/>
          <w:color w:val="011A3C"/>
          <w:sz w:val="24"/>
          <w:szCs w:val="24"/>
          <w:lang w:val="en" w:eastAsia="en-AU"/>
        </w:rPr>
        <w:t>2020.</w:t>
      </w:r>
    </w:p>
    <w:p w14:paraId="04D2AAFA" w14:textId="77777777" w:rsidR="0096466B" w:rsidRPr="00DE5882" w:rsidRDefault="007E3659"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8" w:history="1">
        <w:r w:rsidR="0096466B" w:rsidRPr="00DE5882">
          <w:rPr>
            <w:rFonts w:ascii="VIC-Regular" w:eastAsia="Times New Roman" w:hAnsi="VIC-Regular" w:cs="Times New Roman"/>
            <w:color w:val="011A3C"/>
            <w:sz w:val="24"/>
            <w:szCs w:val="24"/>
            <w:lang w:val="en" w:eastAsia="en-AU"/>
          </w:rPr>
          <w:t>Excel Calculator for Leave (Excel)</w:t>
        </w:r>
      </w:hyperlink>
    </w:p>
    <w:p w14:paraId="20F5D9C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Note: This calculator assists with estimating the inside budget amounts for teaching staff who are on leave.  It is a guideline only and some classifications, like assistant principal class who have </w:t>
      </w:r>
      <w:hyperlink r:id="rId149" w:history="1">
        <w:r w:rsidRPr="00DE5882">
          <w:rPr>
            <w:rFonts w:ascii="VIC-Regular" w:eastAsia="Times New Roman" w:hAnsi="VIC-Regular" w:cs="Times New Roman"/>
            <w:color w:val="011A3C"/>
            <w:sz w:val="24"/>
            <w:szCs w:val="24"/>
            <w:lang w:val="en" w:eastAsia="en-AU"/>
          </w:rPr>
          <w:t>SmartSalary</w:t>
        </w:r>
      </w:hyperlink>
      <w:r w:rsidRPr="00DE5882">
        <w:rPr>
          <w:rFonts w:ascii="VIC-Regular" w:eastAsia="Times New Roman" w:hAnsi="VIC-Regular" w:cs="Times New Roman"/>
          <w:color w:val="011A3C"/>
          <w:sz w:val="24"/>
          <w:szCs w:val="24"/>
          <w:lang w:val="en" w:eastAsia="en-AU"/>
        </w:rPr>
        <w:t xml:space="preserve"> packaging can vary.</w:t>
      </w:r>
    </w:p>
    <w:p w14:paraId="12B0F13A"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Leave reimbursement cash (short term leave)</w:t>
      </w:r>
    </w:p>
    <w:p w14:paraId="2923058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Leave Reimbursement Cash (short term leave) is a process whereby schools can apply for reimbursement for nominated leave items less than 30 continuous working days.</w:t>
      </w:r>
    </w:p>
    <w:p w14:paraId="3F98D70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If schools experience extraordinary periods of short term paid leave they should discuss alternative support with the Schools Finance and Resources Branch at </w:t>
      </w:r>
      <w:hyperlink r:id="rId150" w:history="1">
        <w:r w:rsidRPr="00DE5882">
          <w:rPr>
            <w:rFonts w:ascii="VIC-Regular" w:eastAsia="Times New Roman" w:hAnsi="VIC-Regular" w:cs="Times New Roman"/>
            <w:color w:val="011A3C"/>
            <w:sz w:val="24"/>
            <w:szCs w:val="24"/>
            <w:lang w:val="en" w:eastAsia="en-AU"/>
          </w:rPr>
          <w:t>studentresourcepackage@edumail.vic.gov.au</w:t>
        </w:r>
      </w:hyperlink>
      <w:r w:rsidRPr="00DE5882">
        <w:rPr>
          <w:rFonts w:ascii="VIC-Regular" w:eastAsia="Times New Roman" w:hAnsi="VIC-Regular" w:cs="Times New Roman"/>
          <w:color w:val="011A3C"/>
          <w:sz w:val="24"/>
          <w:szCs w:val="24"/>
          <w:lang w:val="en" w:eastAsia="en-AU"/>
        </w:rPr>
        <w:t xml:space="preserve"> or on </w:t>
      </w:r>
      <w:hyperlink r:id="rId151" w:history="1">
        <w:r w:rsidRPr="00DE5882">
          <w:rPr>
            <w:rFonts w:ascii="VIC-Regular" w:eastAsia="Times New Roman" w:hAnsi="VIC-Regular" w:cs="Times New Roman"/>
            <w:color w:val="011A3C"/>
            <w:sz w:val="24"/>
            <w:szCs w:val="24"/>
            <w:lang w:val="en" w:eastAsia="en-AU"/>
          </w:rPr>
          <w:t>1800 641 943</w:t>
        </w:r>
      </w:hyperlink>
      <w:r w:rsidRPr="00DE5882">
        <w:rPr>
          <w:rFonts w:ascii="VIC-Regular" w:eastAsia="Times New Roman" w:hAnsi="VIC-Regular" w:cs="Times New Roman"/>
          <w:color w:val="011A3C"/>
          <w:sz w:val="24"/>
          <w:szCs w:val="24"/>
          <w:lang w:val="en" w:eastAsia="en-AU"/>
        </w:rPr>
        <w:t>.</w:t>
      </w:r>
    </w:p>
    <w:p w14:paraId="657D009A"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Leave Reimbursement Cash Rates</w:t>
      </w:r>
    </w:p>
    <w:p w14:paraId="078CF97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table contains the rates at which schools will be reimbursed for relief staff; these figures include superannuation and other on-costs.</w:t>
      </w:r>
    </w:p>
    <w:p w14:paraId="464B758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information on payment rates for relief staff, please refer to </w:t>
      </w:r>
      <w:hyperlink r:id="rId152" w:history="1">
        <w:r w:rsidRPr="00DE5882">
          <w:rPr>
            <w:rFonts w:ascii="VIC-Regular" w:eastAsia="Times New Roman" w:hAnsi="VIC-Regular" w:cs="Times New Roman"/>
            <w:color w:val="011A3C"/>
            <w:sz w:val="24"/>
            <w:szCs w:val="24"/>
            <w:lang w:val="en" w:eastAsia="en-AU"/>
          </w:rPr>
          <w:t>Salary Rates</w:t>
        </w:r>
      </w:hyperlink>
      <w:r w:rsidRPr="00DE5882">
        <w:rPr>
          <w:rFonts w:ascii="VIC-Regular" w:eastAsia="Times New Roman" w:hAnsi="VIC-Regular"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7"/>
        <w:gridCol w:w="2692"/>
        <w:gridCol w:w="3067"/>
      </w:tblGrid>
      <w:tr w:rsidR="0096466B" w:rsidRPr="00DE5882" w14:paraId="00DEC829" w14:textId="77777777" w:rsidTr="003243F4">
        <w:trPr>
          <w:tblHeader/>
        </w:trPr>
        <w:tc>
          <w:tcPr>
            <w:tcW w:w="0" w:type="auto"/>
            <w:gridSpan w:val="3"/>
            <w:vAlign w:val="center"/>
            <w:hideMark/>
          </w:tcPr>
          <w:p w14:paraId="57E82BA2" w14:textId="010EC761"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Reimbursement Rates for 202</w:t>
            </w:r>
            <w:r w:rsidR="00745DC1" w:rsidRPr="000B1FF1">
              <w:rPr>
                <w:rFonts w:ascii="VIC-Bold" w:eastAsia="Times New Roman" w:hAnsi="VIC-Bold" w:cs="Times New Roman"/>
                <w:b/>
                <w:bCs/>
                <w:color w:val="323E4F" w:themeColor="text2" w:themeShade="BF"/>
                <w:sz w:val="24"/>
                <w:szCs w:val="24"/>
                <w:lang w:eastAsia="en-AU"/>
              </w:rPr>
              <w:t>1</w:t>
            </w:r>
          </w:p>
        </w:tc>
      </w:tr>
      <w:tr w:rsidR="0096466B" w:rsidRPr="00DE5882" w14:paraId="4AA8C1FB" w14:textId="77777777" w:rsidTr="003243F4">
        <w:trPr>
          <w:tblHeader/>
        </w:trPr>
        <w:tc>
          <w:tcPr>
            <w:tcW w:w="1806" w:type="pct"/>
            <w:hideMark/>
          </w:tcPr>
          <w:p w14:paraId="7DB18C5B"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Effective dates</w:t>
            </w:r>
          </w:p>
        </w:tc>
        <w:tc>
          <w:tcPr>
            <w:tcW w:w="1493" w:type="pct"/>
            <w:hideMark/>
          </w:tcPr>
          <w:p w14:paraId="1F62797F"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Education Support Officer Relief (Hourly Rate)</w:t>
            </w:r>
          </w:p>
        </w:tc>
        <w:tc>
          <w:tcPr>
            <w:tcW w:w="1701" w:type="pct"/>
            <w:hideMark/>
          </w:tcPr>
          <w:p w14:paraId="1FDBB48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Casual Relief Teacher (Maximum Daily Rate)</w:t>
            </w:r>
          </w:p>
        </w:tc>
      </w:tr>
      <w:tr w:rsidR="0096466B" w:rsidRPr="00DE5882" w14:paraId="4DED597D" w14:textId="77777777" w:rsidTr="003243F4">
        <w:tc>
          <w:tcPr>
            <w:tcW w:w="1806" w:type="pct"/>
            <w:hideMark/>
          </w:tcPr>
          <w:p w14:paraId="4726A375" w14:textId="7E91D964"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1 Jan 202</w:t>
            </w:r>
            <w:r w:rsidR="00745DC1" w:rsidRPr="000B1FF1">
              <w:rPr>
                <w:rFonts w:ascii="VIC-Bold" w:eastAsia="Times New Roman" w:hAnsi="VIC-Bold" w:cs="Times New Roman"/>
                <w:color w:val="323E4F" w:themeColor="text2" w:themeShade="BF"/>
                <w:sz w:val="24"/>
                <w:szCs w:val="24"/>
                <w:lang w:eastAsia="en-AU"/>
              </w:rPr>
              <w:t>1</w:t>
            </w:r>
            <w:r w:rsidRPr="000B1FF1">
              <w:rPr>
                <w:rFonts w:ascii="VIC-Bold" w:eastAsia="Times New Roman" w:hAnsi="VIC-Bold" w:cs="Times New Roman"/>
                <w:color w:val="323E4F" w:themeColor="text2" w:themeShade="BF"/>
                <w:sz w:val="24"/>
                <w:szCs w:val="24"/>
                <w:lang w:eastAsia="en-AU"/>
              </w:rPr>
              <w:t xml:space="preserve"> — 31 </w:t>
            </w:r>
            <w:r w:rsidR="00745DC1" w:rsidRPr="000B1FF1">
              <w:rPr>
                <w:rFonts w:ascii="VIC-Bold" w:eastAsia="Times New Roman" w:hAnsi="VIC-Bold" w:cs="Times New Roman"/>
                <w:color w:val="323E4F" w:themeColor="text2" w:themeShade="BF"/>
                <w:sz w:val="24"/>
                <w:szCs w:val="24"/>
                <w:lang w:eastAsia="en-AU"/>
              </w:rPr>
              <w:t xml:space="preserve">Dec </w:t>
            </w:r>
            <w:r w:rsidRPr="000B1FF1">
              <w:rPr>
                <w:rFonts w:ascii="VIC-Bold" w:eastAsia="Times New Roman" w:hAnsi="VIC-Bold" w:cs="Times New Roman"/>
                <w:color w:val="323E4F" w:themeColor="text2" w:themeShade="BF"/>
                <w:sz w:val="24"/>
                <w:szCs w:val="24"/>
                <w:lang w:eastAsia="en-AU"/>
              </w:rPr>
              <w:t>202</w:t>
            </w:r>
            <w:r w:rsidR="00745DC1" w:rsidRPr="000B1FF1">
              <w:rPr>
                <w:rFonts w:ascii="VIC-Bold" w:eastAsia="Times New Roman" w:hAnsi="VIC-Bold" w:cs="Times New Roman"/>
                <w:color w:val="323E4F" w:themeColor="text2" w:themeShade="BF"/>
                <w:sz w:val="24"/>
                <w:szCs w:val="24"/>
                <w:lang w:eastAsia="en-AU"/>
              </w:rPr>
              <w:t>1</w:t>
            </w:r>
          </w:p>
        </w:tc>
        <w:tc>
          <w:tcPr>
            <w:tcW w:w="1493" w:type="pct"/>
            <w:hideMark/>
          </w:tcPr>
          <w:p w14:paraId="3059A136" w14:textId="3C4DC3A2"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$43.39</w:t>
            </w:r>
          </w:p>
        </w:tc>
        <w:tc>
          <w:tcPr>
            <w:tcW w:w="1701" w:type="pct"/>
            <w:hideMark/>
          </w:tcPr>
          <w:p w14:paraId="798A690F" w14:textId="0E56E81C" w:rsidR="0096466B" w:rsidRPr="000B1FF1" w:rsidRDefault="00745DC1"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$421.44</w:t>
            </w:r>
          </w:p>
        </w:tc>
      </w:tr>
      <w:tr w:rsidR="0096466B" w:rsidRPr="00DE5882" w14:paraId="7DFDF289" w14:textId="77777777" w:rsidTr="00745DC1">
        <w:tc>
          <w:tcPr>
            <w:tcW w:w="1806" w:type="pct"/>
          </w:tcPr>
          <w:p w14:paraId="258EDFC3" w14:textId="37132DE0"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p>
        </w:tc>
        <w:tc>
          <w:tcPr>
            <w:tcW w:w="1493" w:type="pct"/>
          </w:tcPr>
          <w:p w14:paraId="752AFD06" w14:textId="75D3AA96"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c>
          <w:tcPr>
            <w:tcW w:w="1701" w:type="pct"/>
          </w:tcPr>
          <w:p w14:paraId="0D39D06F" w14:textId="54442FE1"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r>
      <w:tr w:rsidR="0096466B" w:rsidRPr="00DE5882" w14:paraId="63016ACA" w14:textId="77777777" w:rsidTr="00745DC1">
        <w:tc>
          <w:tcPr>
            <w:tcW w:w="1806" w:type="pct"/>
          </w:tcPr>
          <w:p w14:paraId="124E652A" w14:textId="56EDC073" w:rsidR="0096466B" w:rsidRPr="00DE5882" w:rsidRDefault="0096466B" w:rsidP="00ED4312">
            <w:pPr>
              <w:spacing w:after="0" w:line="240" w:lineRule="atLeast"/>
              <w:rPr>
                <w:rFonts w:ascii="VIC-Bold" w:eastAsia="Times New Roman" w:hAnsi="VIC-Bold" w:cs="Times New Roman"/>
                <w:sz w:val="24"/>
                <w:szCs w:val="24"/>
                <w:lang w:eastAsia="en-AU"/>
              </w:rPr>
            </w:pPr>
          </w:p>
        </w:tc>
        <w:tc>
          <w:tcPr>
            <w:tcW w:w="1493" w:type="pct"/>
          </w:tcPr>
          <w:p w14:paraId="648BA53E" w14:textId="79FCE353" w:rsidR="0096466B" w:rsidRPr="00DE5882" w:rsidRDefault="0096466B" w:rsidP="00ED4312">
            <w:pPr>
              <w:spacing w:after="0" w:line="360" w:lineRule="atLeast"/>
              <w:rPr>
                <w:rFonts w:ascii="VIC-Regular" w:eastAsia="Times New Roman" w:hAnsi="VIC-Regular" w:cs="Times New Roman"/>
                <w:sz w:val="24"/>
                <w:szCs w:val="24"/>
                <w:lang w:eastAsia="en-AU"/>
              </w:rPr>
            </w:pPr>
          </w:p>
        </w:tc>
        <w:tc>
          <w:tcPr>
            <w:tcW w:w="1701" w:type="pct"/>
          </w:tcPr>
          <w:p w14:paraId="5C4F2313" w14:textId="75A9E867" w:rsidR="0096466B" w:rsidRPr="00DE5882" w:rsidRDefault="0096466B" w:rsidP="00ED4312">
            <w:pPr>
              <w:spacing w:after="0" w:line="360" w:lineRule="atLeast"/>
              <w:rPr>
                <w:rFonts w:ascii="VIC-Regular" w:eastAsia="Times New Roman" w:hAnsi="VIC-Regular" w:cs="Times New Roman"/>
                <w:sz w:val="24"/>
                <w:szCs w:val="24"/>
                <w:lang w:eastAsia="en-AU"/>
              </w:rPr>
            </w:pPr>
          </w:p>
        </w:tc>
      </w:tr>
    </w:tbl>
    <w:p w14:paraId="486AADE2" w14:textId="77777777" w:rsidR="0096466B" w:rsidRPr="003243F4" w:rsidRDefault="0096466B" w:rsidP="00A9180D">
      <w:pPr>
        <w:keepNext/>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lastRenderedPageBreak/>
        <w:t>Identification of a replacement</w:t>
      </w:r>
    </w:p>
    <w:p w14:paraId="3F9DA38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Central (credit) replacements are identified by any of the following methods using data from eduPay:</w:t>
      </w:r>
    </w:p>
    <w:p w14:paraId="1D971F27"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increase in time fraction</w:t>
      </w:r>
    </w:p>
    <w:p w14:paraId="4992DBFB"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transfer from another school</w:t>
      </w:r>
    </w:p>
    <w:p w14:paraId="220E0A98"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temporary resumption from unpaid leave</w:t>
      </w:r>
    </w:p>
    <w:p w14:paraId="0FB93DF7"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fixed-term contract</w:t>
      </w:r>
    </w:p>
    <w:p w14:paraId="508AF0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Local (cash) replacements are identified by any of the following methods using data from CASES21:</w:t>
      </w:r>
    </w:p>
    <w:p w14:paraId="7D492615" w14:textId="77777777" w:rsidR="0096466B" w:rsidRPr="00DE5882" w:rsidRDefault="0096466B" w:rsidP="003243F4">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local payroll payment (eduPay school local payroll)</w:t>
      </w:r>
    </w:p>
    <w:p w14:paraId="7A46F51A" w14:textId="77777777" w:rsidR="0096466B" w:rsidRPr="00DE5882" w:rsidRDefault="0096466B" w:rsidP="003243F4">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creditor invoice payment (agency)</w:t>
      </w:r>
    </w:p>
    <w:p w14:paraId="0F35E1D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Supporting documentation</w:t>
      </w:r>
    </w:p>
    <w:p w14:paraId="21264855" w14:textId="77777777" w:rsidR="0096466B" w:rsidRPr="00DE5882" w:rsidRDefault="007E3659" w:rsidP="003243F4">
      <w:pPr>
        <w:numPr>
          <w:ilvl w:val="0"/>
          <w:numId w:val="13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53" w:history="1">
        <w:r w:rsidR="0096466B" w:rsidRPr="00DE5882">
          <w:rPr>
            <w:rFonts w:ascii="VIC-Regular" w:eastAsia="Times New Roman" w:hAnsi="VIC-Regular" w:cs="Times New Roman"/>
            <w:color w:val="011A3C"/>
            <w:sz w:val="24"/>
            <w:szCs w:val="24"/>
            <w:lang w:val="en" w:eastAsia="en-AU"/>
          </w:rPr>
          <w:t>SRP Leave Portal User Guide (PDF)</w:t>
        </w:r>
      </w:hyperlink>
    </w:p>
    <w:p w14:paraId="54B19A14" w14:textId="77777777" w:rsidR="0096466B" w:rsidRPr="00DE5882" w:rsidRDefault="007E3659" w:rsidP="003243F4">
      <w:pPr>
        <w:numPr>
          <w:ilvl w:val="0"/>
          <w:numId w:val="13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54" w:history="1">
        <w:r w:rsidR="0096466B" w:rsidRPr="00DE5882">
          <w:rPr>
            <w:rFonts w:ascii="VIC-Regular" w:eastAsia="Times New Roman" w:hAnsi="VIC-Regular" w:cs="Times New Roman"/>
            <w:color w:val="011A3C"/>
            <w:sz w:val="24"/>
            <w:szCs w:val="24"/>
            <w:lang w:val="en" w:eastAsia="en-AU"/>
          </w:rPr>
          <w:t>SRP Leave Portal User Guide (Word)</w:t>
        </w:r>
      </w:hyperlink>
    </w:p>
    <w:p w14:paraId="3C70C9C2" w14:textId="0BE06B5A" w:rsidR="0096466B" w:rsidRDefault="007E3659" w:rsidP="003243F4">
      <w:pPr>
        <w:numPr>
          <w:ilvl w:val="0"/>
          <w:numId w:val="13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55" w:history="1">
        <w:r w:rsidR="0096466B" w:rsidRPr="00DE5882">
          <w:rPr>
            <w:rFonts w:ascii="VIC-Regular" w:eastAsia="Times New Roman" w:hAnsi="VIC-Regular" w:cs="Times New Roman"/>
            <w:color w:val="011A3C"/>
            <w:sz w:val="24"/>
            <w:szCs w:val="24"/>
            <w:lang w:val="en" w:eastAsia="en-AU"/>
          </w:rPr>
          <w:t>Sample Spread sheet for Leave Replacements (Excel)</w:t>
        </w:r>
      </w:hyperlink>
    </w:p>
    <w:p w14:paraId="3B830488" w14:textId="77777777" w:rsidR="000B1FF1" w:rsidRPr="00DE5882" w:rsidRDefault="000B1FF1" w:rsidP="000B1FF1">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4DF8DECF"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Trailing holidays</w:t>
      </w:r>
    </w:p>
    <w:p w14:paraId="5F88820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a staff member is absent during the term and vacation period, and the replacement staff member is employed throughout that term and into the following vacation period, this is referred to in the SRP system as a ‘trailing holiday’.</w:t>
      </w:r>
    </w:p>
    <w:p w14:paraId="12F1A77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leave type is only applicable to replacements for absences of 30 days or more of continuous leave, where the replacement is a centrally paid staff member, and where the leave covers the last day of term. This option can be selected from the SRP leave replacement portal.</w:t>
      </w:r>
    </w:p>
    <w:p w14:paraId="5BB2D819"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 xml:space="preserve">Example 1 </w:t>
      </w:r>
      <w:r w:rsidRPr="003243F4">
        <w:rPr>
          <w:rFonts w:ascii="VIC-Regular" w:eastAsia="Times New Roman" w:hAnsi="VIC-Regular" w:cs="Times New Roman" w:hint="eastAsia"/>
          <w:b/>
          <w:bCs/>
          <w:color w:val="011A3C"/>
          <w:sz w:val="24"/>
          <w:szCs w:val="24"/>
          <w:lang w:val="en" w:eastAsia="en-AU"/>
        </w:rPr>
        <w:t>—</w:t>
      </w:r>
      <w:r w:rsidRPr="003243F4">
        <w:rPr>
          <w:rFonts w:ascii="VIC-Regular" w:eastAsia="Times New Roman" w:hAnsi="VIC-Regular" w:cs="Times New Roman"/>
          <w:b/>
          <w:bCs/>
          <w:color w:val="011A3C"/>
          <w:sz w:val="24"/>
          <w:szCs w:val="24"/>
          <w:lang w:val="en" w:eastAsia="en-AU"/>
        </w:rPr>
        <w:t xml:space="preserve"> Term 2 Break:</w:t>
      </w:r>
    </w:p>
    <w:p w14:paraId="77191CA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John Teacher is an ongoing staff member at Blue Primary School who took long service leave for the whole of Term 2. During his absence Elizabeth Teacher was hired into a fixed-term position. Although John’s leave ended </w:t>
      </w:r>
      <w:r w:rsidRPr="00DE5882">
        <w:rPr>
          <w:rFonts w:ascii="VIC-Regular" w:eastAsia="Times New Roman" w:hAnsi="VIC-Regular" w:cs="Times New Roman"/>
          <w:color w:val="011A3C"/>
          <w:sz w:val="24"/>
          <w:szCs w:val="24"/>
          <w:lang w:val="en" w:eastAsia="en-AU"/>
        </w:rPr>
        <w:lastRenderedPageBreak/>
        <w:t>on the last day of term, he will not actually return to the school until the first day of Term 3. At the same time, Elizabeth is entitled to be paid for the Term 2 vacation period.</w:t>
      </w:r>
    </w:p>
    <w:p w14:paraId="196E4B1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Charging both staff to the school would result in a double charge. Blue Primary School recorded Elizabeth as the central replacement for the full period of leave including the vacation period (trailing holidays). The school was charged as follows:</w:t>
      </w:r>
    </w:p>
    <w:p w14:paraId="37440315" w14:textId="77777777" w:rsidR="0096466B" w:rsidRPr="00DE5882" w:rsidRDefault="0096466B" w:rsidP="003243F4">
      <w:pPr>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From the first day of Term 2 to the last day of Term 2 John’s salary will be charged outside the Blue Primary School's budget. Elizabeth's salary in the same period will be charged to Blue Primary School.</w:t>
      </w:r>
    </w:p>
    <w:p w14:paraId="4736FFEA" w14:textId="77777777" w:rsidR="0096466B" w:rsidRPr="00DE5882" w:rsidRDefault="0096466B" w:rsidP="003243F4">
      <w:pPr>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John's salary will continue to be charged outside Blue Primary School's budget between the first day of Term 2 vacation until the last day of Term 2 vacation. Elizabeth's salary in the same period will be charged to Blue Primary School.    </w:t>
      </w:r>
    </w:p>
    <w:p w14:paraId="2404923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leave charging rules apply, refer to Leave Capping (above).</w:t>
      </w:r>
    </w:p>
    <w:p w14:paraId="5E694800"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 xml:space="preserve">Example 2 </w:t>
      </w:r>
      <w:r w:rsidRPr="003243F4">
        <w:rPr>
          <w:rFonts w:ascii="VIC-Regular" w:eastAsia="Times New Roman" w:hAnsi="VIC-Regular" w:cs="Times New Roman" w:hint="eastAsia"/>
          <w:b/>
          <w:bCs/>
          <w:color w:val="011A3C"/>
          <w:sz w:val="24"/>
          <w:szCs w:val="24"/>
          <w:lang w:val="en" w:eastAsia="en-AU"/>
        </w:rPr>
        <w:t>—</w:t>
      </w:r>
      <w:r w:rsidRPr="003243F4">
        <w:rPr>
          <w:rFonts w:ascii="VIC-Regular" w:eastAsia="Times New Roman" w:hAnsi="VIC-Regular" w:cs="Times New Roman"/>
          <w:b/>
          <w:bCs/>
          <w:color w:val="011A3C"/>
          <w:sz w:val="24"/>
          <w:szCs w:val="24"/>
          <w:lang w:val="en" w:eastAsia="en-AU"/>
        </w:rPr>
        <w:t xml:space="preserve"> End of year break:</w:t>
      </w:r>
    </w:p>
    <w:p w14:paraId="07FC1E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Jane Teacher is an ongoing staff member at Orange Primary School who was absent on long service leave for the last 7 weeks of Term 4 (greater than 30 continuous working days). During her absence she was replaced by Fred Teacher, a fixed-term teacher who was employed at Orange in a different capacity to the end of Term 3. He was retained at the school through Term 4 to cover the absence of Jane.</w:t>
      </w:r>
    </w:p>
    <w:p w14:paraId="6E3AB49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Jane’s leave ended on the last day of term, but she will not actually return to the school until the first day of Term 1. Fred is entitled to be paid for the end of year vacation. Charging both staff to the school would result in a double charge. Orange Primary recorded Fred as the central replacement for the full period of leave including the vacation period (trailing holidays). The school was charged as follows:</w:t>
      </w:r>
    </w:p>
    <w:p w14:paraId="5D2F3742" w14:textId="54479E32" w:rsidR="0096466B" w:rsidRPr="00DE5882" w:rsidRDefault="0096466B" w:rsidP="003243F4">
      <w:pPr>
        <w:numPr>
          <w:ilvl w:val="0"/>
          <w:numId w:val="1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From the first day of Term 4 to the day before Jane goes on leave, Orange Primary School will </w:t>
      </w:r>
      <w:r w:rsidR="002E5AC9">
        <w:rPr>
          <w:rFonts w:ascii="VIC-Regular" w:eastAsia="Times New Roman" w:hAnsi="VIC-Regular" w:cs="Times New Roman"/>
          <w:color w:val="011A3C"/>
          <w:sz w:val="24"/>
          <w:szCs w:val="24"/>
          <w:lang w:val="en" w:eastAsia="en-AU"/>
        </w:rPr>
        <w:t xml:space="preserve">be </w:t>
      </w:r>
      <w:r w:rsidRPr="00DE5882">
        <w:rPr>
          <w:rFonts w:ascii="VIC-Regular" w:eastAsia="Times New Roman" w:hAnsi="VIC-Regular" w:cs="Times New Roman"/>
          <w:color w:val="011A3C"/>
          <w:sz w:val="24"/>
          <w:szCs w:val="24"/>
          <w:lang w:val="en" w:eastAsia="en-AU"/>
        </w:rPr>
        <w:t>charged for her salary. Fred’s salary will also be charged to Orange Primary School during this time.</w:t>
      </w:r>
    </w:p>
    <w:p w14:paraId="7767CB8B" w14:textId="77777777" w:rsidR="0096466B" w:rsidRPr="00DE5882" w:rsidRDefault="0096466B" w:rsidP="003243F4">
      <w:pPr>
        <w:numPr>
          <w:ilvl w:val="0"/>
          <w:numId w:val="1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From the first day Jane is on leave to the last day in Term 4, her salary will be charged outside of Orange Primary School's budget. During this time, Fred’s salary will be charged to Orange Primary School.</w:t>
      </w:r>
    </w:p>
    <w:p w14:paraId="63F89B44" w14:textId="12459DFF" w:rsidR="0096466B" w:rsidRPr="00DE5882" w:rsidRDefault="0096466B" w:rsidP="003243F4">
      <w:pPr>
        <w:numPr>
          <w:ilvl w:val="0"/>
          <w:numId w:val="1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Additionally, from the first day of </w:t>
      </w:r>
      <w:r w:rsidR="002E5AC9">
        <w:rPr>
          <w:rFonts w:ascii="VIC-Regular" w:eastAsia="Times New Roman" w:hAnsi="VIC-Regular" w:cs="Times New Roman"/>
          <w:color w:val="011A3C"/>
          <w:sz w:val="24"/>
          <w:szCs w:val="24"/>
          <w:lang w:val="en" w:eastAsia="en-AU"/>
        </w:rPr>
        <w:t xml:space="preserve">the </w:t>
      </w:r>
      <w:r w:rsidRPr="00DE5882">
        <w:rPr>
          <w:rFonts w:ascii="VIC-Regular" w:eastAsia="Times New Roman" w:hAnsi="VIC-Regular" w:cs="Times New Roman"/>
          <w:color w:val="011A3C"/>
          <w:sz w:val="24"/>
          <w:szCs w:val="24"/>
          <w:lang w:val="en" w:eastAsia="en-AU"/>
        </w:rPr>
        <w:t>end of year vacation to the last day of end of year vacation, Jane's salary will continue to be charged outside Orange Primary School's budget. Fred's salary during this period will continue to be charged to Orange Primary School.</w:t>
      </w:r>
    </w:p>
    <w:p w14:paraId="0C607261" w14:textId="3F65B772"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leave charging rules apply, refer to Leave Capping (above).</w:t>
      </w:r>
    </w:p>
    <w:p w14:paraId="6B109A93" w14:textId="77777777" w:rsidR="0096466B" w:rsidRDefault="0096466B" w:rsidP="0096466B">
      <w:r>
        <w:br w:type="page"/>
      </w:r>
    </w:p>
    <w:p w14:paraId="7706E11A" w14:textId="77777777" w:rsidR="0096466B" w:rsidRPr="00DE5882" w:rsidRDefault="0096466B" w:rsidP="00842992">
      <w:pPr>
        <w:pStyle w:val="Heading2"/>
      </w:pPr>
      <w:bookmarkStart w:id="90" w:name="_Toc52796226"/>
      <w:r w:rsidRPr="00DE5882">
        <w:lastRenderedPageBreak/>
        <w:t>Surplus or deficit</w:t>
      </w:r>
      <w:bookmarkEnd w:id="90"/>
    </w:p>
    <w:p w14:paraId="5DF68B4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annual pay cycle and rollover of surplus / deficit from one year to the next for the Student Resource Package (SRP).</w:t>
      </w:r>
    </w:p>
    <w:p w14:paraId="5649B466"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Annual pay cycle</w:t>
      </w:r>
    </w:p>
    <w:p w14:paraId="649AA13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Allocations in the SRP for salaries are based on a full calendar year, which is 260.893 working days per year. This equates to 365.25 calendar days, taking account of the leap-year cycle.</w:t>
      </w:r>
    </w:p>
    <w:p w14:paraId="1B26C37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Actual salary costs on eduPay are charged to schools each year according to the actual number of working days in the year. This may be 260, 261 or 262 working days in any given year.</w:t>
      </w:r>
    </w:p>
    <w:p w14:paraId="3925B74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must take account of these minor variations as part of their normal budget planning. SRP financial reports, including the </w:t>
      </w:r>
      <w:hyperlink r:id="rId156" w:history="1">
        <w:r w:rsidRPr="00DE5882">
          <w:rPr>
            <w:rFonts w:ascii="VIC-Regular" w:eastAsia="Times New Roman" w:hAnsi="VIC-Regular" w:cs="Times New Roman"/>
            <w:color w:val="011A3C"/>
            <w:sz w:val="24"/>
            <w:szCs w:val="24"/>
            <w:lang w:val="en" w:eastAsia="en-AU"/>
          </w:rPr>
          <w:t>SRP Management Report</w:t>
        </w:r>
      </w:hyperlink>
      <w:r w:rsidRPr="00DE5882">
        <w:rPr>
          <w:rFonts w:ascii="VIC-Regular" w:eastAsia="Times New Roman" w:hAnsi="VIC-Regular" w:cs="Times New Roman"/>
          <w:color w:val="011A3C"/>
          <w:sz w:val="24"/>
          <w:szCs w:val="24"/>
          <w:lang w:val="en" w:eastAsia="en-AU"/>
        </w:rPr>
        <w:t xml:space="preserve"> and </w:t>
      </w:r>
      <w:hyperlink r:id="rId157" w:history="1">
        <w:r w:rsidRPr="00DE5882">
          <w:rPr>
            <w:rFonts w:ascii="VIC-Regular" w:eastAsia="Times New Roman" w:hAnsi="VIC-Regular" w:cs="Times New Roman"/>
            <w:color w:val="011A3C"/>
            <w:sz w:val="24"/>
            <w:szCs w:val="24"/>
            <w:lang w:val="en" w:eastAsia="en-AU"/>
          </w:rPr>
          <w:t>Salaries Fortnightly Transaction Report</w:t>
        </w:r>
      </w:hyperlink>
      <w:r w:rsidRPr="00DE5882">
        <w:rPr>
          <w:rFonts w:ascii="VIC-Regular" w:eastAsia="Times New Roman" w:hAnsi="VIC-Regular" w:cs="Times New Roman"/>
          <w:color w:val="011A3C"/>
          <w:sz w:val="24"/>
          <w:szCs w:val="24"/>
          <w:lang w:val="en" w:eastAsia="en-AU"/>
        </w:rPr>
        <w:t xml:space="preserve"> (both available from the </w:t>
      </w:r>
      <w:hyperlink r:id="rId158"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xml:space="preserve">), and the SRP Planner (accessible from the </w:t>
      </w:r>
      <w:hyperlink r:id="rId159"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are programmed to take account of these annual variations.</w:t>
      </w:r>
    </w:p>
    <w:p w14:paraId="76F5BD3E"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Rollover of surplus or</w:t>
      </w:r>
      <w:r w:rsidRPr="003243F4">
        <w:rPr>
          <w:rFonts w:ascii="VIC-Regular" w:eastAsia="Times New Roman" w:hAnsi="VIC-Regular" w:cs="Times New Roman" w:hint="eastAsia"/>
          <w:b/>
          <w:bCs/>
          <w:color w:val="011A3C"/>
          <w:sz w:val="24"/>
          <w:szCs w:val="24"/>
          <w:lang w:val="en" w:eastAsia="en-AU"/>
        </w:rPr>
        <w:t> </w:t>
      </w:r>
      <w:r w:rsidRPr="003243F4">
        <w:rPr>
          <w:rFonts w:ascii="VIC-Regular" w:eastAsia="Times New Roman" w:hAnsi="VIC-Regular" w:cs="Times New Roman"/>
          <w:b/>
          <w:bCs/>
          <w:color w:val="011A3C"/>
          <w:sz w:val="24"/>
          <w:szCs w:val="24"/>
          <w:lang w:val="en" w:eastAsia="en-AU"/>
        </w:rPr>
        <w:t>deficit from one year to the next</w:t>
      </w:r>
    </w:p>
    <w:p w14:paraId="4C69DD2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Any credit surplus remaining against the school after the reconciliation process is completed is carried forward to the following year. Schools then have the option of either retaining the funds as credit, or submitting a ‘credit to cash against previous year surplus’ request to gain immediate access to the funds as cash (refer to Credit / Cash Transfers below)</w:t>
      </w:r>
    </w:p>
    <w:p w14:paraId="1456BF5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Not all programs have the option of requesting funds for immediate access.</w:t>
      </w:r>
    </w:p>
    <w:p w14:paraId="5EF67A90"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End of year deficit</w:t>
      </w:r>
    </w:p>
    <w:p w14:paraId="30C8D4FC" w14:textId="13CB0CBE"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Any credit deficit remaining against the school will be recovered from the school’s cash component in the following year. This recovery will occur against the first quarterly cash grant (QCG) following the finalisation of reconciliation for all schools. If there are insufficient funds available in the first QCG to cover the outstanding deficit amount, the balance will be recovered from the next QCG(s). If there remains an outstanding deficit </w:t>
      </w:r>
      <w:r w:rsidRPr="00DE5882">
        <w:rPr>
          <w:rFonts w:ascii="VIC-Regular" w:eastAsia="Times New Roman" w:hAnsi="VIC-Regular" w:cs="Times New Roman"/>
          <w:color w:val="011A3C"/>
          <w:sz w:val="24"/>
          <w:szCs w:val="24"/>
          <w:lang w:val="en" w:eastAsia="en-AU"/>
        </w:rPr>
        <w:lastRenderedPageBreak/>
        <w:t xml:space="preserve">amount after the Term 4 QCG, the school will be </w:t>
      </w:r>
      <w:r w:rsidR="002E5AC9" w:rsidRPr="00DE5882">
        <w:rPr>
          <w:rFonts w:ascii="VIC-Regular" w:eastAsia="Times New Roman" w:hAnsi="VIC-Regular" w:cs="Times New Roman"/>
          <w:color w:val="011A3C"/>
          <w:sz w:val="24"/>
          <w:szCs w:val="24"/>
          <w:lang w:val="en" w:eastAsia="en-AU"/>
        </w:rPr>
        <w:t>contacted,</w:t>
      </w:r>
      <w:r w:rsidRPr="00DE5882">
        <w:rPr>
          <w:rFonts w:ascii="VIC-Regular" w:eastAsia="Times New Roman" w:hAnsi="VIC-Regular" w:cs="Times New Roman"/>
          <w:color w:val="011A3C"/>
          <w:sz w:val="24"/>
          <w:szCs w:val="24"/>
          <w:lang w:val="en" w:eastAsia="en-AU"/>
        </w:rPr>
        <w:t xml:space="preserve"> and arrangements made for the balance to be paid</w:t>
      </w:r>
      <w:r w:rsidR="002E5AC9">
        <w:rPr>
          <w:rFonts w:ascii="VIC-Regular" w:eastAsia="Times New Roman" w:hAnsi="VIC-Regular" w:cs="Times New Roman"/>
          <w:color w:val="011A3C"/>
          <w:sz w:val="24"/>
          <w:szCs w:val="24"/>
          <w:lang w:val="en" w:eastAsia="en-AU"/>
        </w:rPr>
        <w:t xml:space="preserve">, </w:t>
      </w:r>
      <w:r w:rsidR="002E5AC9" w:rsidRPr="00EA43B6">
        <w:rPr>
          <w:rFonts w:ascii="VIC-Regular" w:eastAsia="Times New Roman" w:hAnsi="VIC-Regular" w:cs="Times New Roman"/>
          <w:color w:val="011A3C"/>
          <w:sz w:val="24"/>
          <w:szCs w:val="24"/>
          <w:lang w:eastAsia="en-AU"/>
        </w:rPr>
        <w:t>preferably</w:t>
      </w:r>
      <w:r w:rsidR="002E5AC9">
        <w:rPr>
          <w:rFonts w:ascii="VIC-Regular" w:eastAsia="Times New Roman" w:hAnsi="VIC-Regular" w:cs="Times New Roman"/>
          <w:color w:val="011A3C"/>
          <w:sz w:val="24"/>
          <w:szCs w:val="24"/>
          <w:lang w:val="en" w:eastAsia="en-AU"/>
        </w:rPr>
        <w:t xml:space="preserve"> via Electronic Funds Transfer (EFT)</w:t>
      </w:r>
      <w:r w:rsidRPr="00DE5882">
        <w:rPr>
          <w:rFonts w:ascii="VIC-Regular" w:eastAsia="Times New Roman" w:hAnsi="VIC-Regular"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6"/>
        <w:gridCol w:w="1260"/>
        <w:gridCol w:w="1828"/>
        <w:gridCol w:w="1841"/>
        <w:gridCol w:w="1861"/>
      </w:tblGrid>
      <w:tr w:rsidR="000B1FF1" w:rsidRPr="000B1FF1" w14:paraId="39E0341A" w14:textId="77777777" w:rsidTr="003243F4">
        <w:trPr>
          <w:tblHeader/>
        </w:trPr>
        <w:tc>
          <w:tcPr>
            <w:tcW w:w="0" w:type="auto"/>
            <w:gridSpan w:val="5"/>
            <w:vAlign w:val="center"/>
            <w:hideMark/>
          </w:tcPr>
          <w:p w14:paraId="239F85E4" w14:textId="77777777" w:rsidR="0096466B" w:rsidRPr="000B1FF1" w:rsidRDefault="0096466B" w:rsidP="003243F4">
            <w:pPr>
              <w:spacing w:before="100" w:beforeAutospacing="1" w:after="100" w:afterAutospacing="1" w:line="360" w:lineRule="atLeast"/>
              <w:rPr>
                <w:rFonts w:ascii="VIC-Bold" w:eastAsia="Times New Roman" w:hAnsi="VIC-Bold" w:cs="Times New Roman"/>
                <w:color w:val="323E4F" w:themeColor="text2" w:themeShade="BF"/>
                <w:sz w:val="24"/>
                <w:szCs w:val="24"/>
                <w:lang w:eastAsia="en-AU"/>
              </w:rPr>
            </w:pPr>
            <w:r w:rsidRPr="000B1FF1">
              <w:rPr>
                <w:rFonts w:ascii="VIC-Regular" w:eastAsia="Times New Roman" w:hAnsi="VIC-Regular" w:cs="Times New Roman"/>
                <w:b/>
                <w:bCs/>
                <w:color w:val="323E4F" w:themeColor="text2" w:themeShade="BF"/>
                <w:sz w:val="24"/>
                <w:szCs w:val="24"/>
                <w:lang w:val="en" w:eastAsia="en-AU"/>
              </w:rPr>
              <w:t>Example 1: Recovery from Term 3 QCG</w:t>
            </w:r>
          </w:p>
        </w:tc>
      </w:tr>
      <w:tr w:rsidR="000B1FF1" w:rsidRPr="000B1FF1" w14:paraId="79DD10BF" w14:textId="77777777" w:rsidTr="003243F4">
        <w:trPr>
          <w:tblHeader/>
        </w:trPr>
        <w:tc>
          <w:tcPr>
            <w:tcW w:w="0" w:type="auto"/>
            <w:hideMark/>
          </w:tcPr>
          <w:p w14:paraId="693B8CBB" w14:textId="77777777" w:rsidR="0096466B" w:rsidRPr="000B1FF1" w:rsidRDefault="0096466B" w:rsidP="00ED4312">
            <w:pPr>
              <w:spacing w:after="0" w:line="240" w:lineRule="auto"/>
              <w:rPr>
                <w:rFonts w:ascii="Times New Roman" w:eastAsia="Times New Roman" w:hAnsi="Times New Roman" w:cs="Times New Roman"/>
                <w:color w:val="323E4F" w:themeColor="text2" w:themeShade="BF"/>
                <w:sz w:val="24"/>
                <w:szCs w:val="24"/>
                <w:lang w:eastAsia="en-AU"/>
              </w:rPr>
            </w:pPr>
          </w:p>
        </w:tc>
        <w:tc>
          <w:tcPr>
            <w:tcW w:w="0" w:type="auto"/>
            <w:hideMark/>
          </w:tcPr>
          <w:p w14:paraId="2C92C01F" w14:textId="77777777" w:rsidR="0096466B" w:rsidRPr="000B1FF1" w:rsidRDefault="0096466B" w:rsidP="00ED4312">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14E1251B"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3 QCG</w:t>
            </w:r>
          </w:p>
        </w:tc>
        <w:tc>
          <w:tcPr>
            <w:tcW w:w="0" w:type="auto"/>
            <w:hideMark/>
          </w:tcPr>
          <w:p w14:paraId="1C5926FF"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4 QCG</w:t>
            </w:r>
          </w:p>
        </w:tc>
        <w:tc>
          <w:tcPr>
            <w:tcW w:w="0" w:type="auto"/>
            <w:hideMark/>
          </w:tcPr>
          <w:p w14:paraId="2339C23B" w14:textId="6FC2829C" w:rsidR="0096466B" w:rsidRPr="000B1FF1" w:rsidRDefault="002E5AC9"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EFT/</w:t>
            </w:r>
            <w:r w:rsidR="0096466B" w:rsidRPr="000B1FF1">
              <w:rPr>
                <w:rFonts w:ascii="VIC-Bold" w:eastAsia="Times New Roman" w:hAnsi="VIC-Bold" w:cs="Times New Roman"/>
                <w:color w:val="323E4F" w:themeColor="text2" w:themeShade="BF"/>
                <w:sz w:val="24"/>
                <w:szCs w:val="24"/>
                <w:lang w:eastAsia="en-AU"/>
              </w:rPr>
              <w:t>Cheque</w:t>
            </w:r>
          </w:p>
        </w:tc>
      </w:tr>
      <w:tr w:rsidR="000B1FF1" w:rsidRPr="000B1FF1" w14:paraId="32CE3F30" w14:textId="77777777" w:rsidTr="002E5AC9">
        <w:tc>
          <w:tcPr>
            <w:tcW w:w="0" w:type="auto"/>
            <w:tcBorders>
              <w:bottom w:val="single" w:sz="4" w:space="0" w:color="auto"/>
            </w:tcBorders>
            <w:hideMark/>
          </w:tcPr>
          <w:p w14:paraId="30D85BE2"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QCG Amount</w:t>
            </w:r>
          </w:p>
        </w:tc>
        <w:tc>
          <w:tcPr>
            <w:tcW w:w="0" w:type="auto"/>
            <w:tcBorders>
              <w:bottom w:val="single" w:sz="4" w:space="0" w:color="auto"/>
            </w:tcBorders>
            <w:hideMark/>
          </w:tcPr>
          <w:p w14:paraId="7749C78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c>
          <w:tcPr>
            <w:tcW w:w="0" w:type="auto"/>
            <w:hideMark/>
          </w:tcPr>
          <w:p w14:paraId="6478DC30" w14:textId="41758F44"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0BA3FC60" w14:textId="56060CFA"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2D15A7AC" w14:textId="77777777" w:rsidR="0096466B" w:rsidRPr="000B1FF1" w:rsidRDefault="0096466B" w:rsidP="002E5AC9">
            <w:pPr>
              <w:spacing w:after="0" w:line="360" w:lineRule="atLeast"/>
              <w:jc w:val="center"/>
              <w:rPr>
                <w:rFonts w:ascii="VIC-Regular" w:eastAsia="Times New Roman" w:hAnsi="VIC-Regular" w:cs="Times New Roman"/>
                <w:color w:val="323E4F" w:themeColor="text2" w:themeShade="BF"/>
                <w:sz w:val="24"/>
                <w:szCs w:val="24"/>
                <w:lang w:eastAsia="en-AU"/>
              </w:rPr>
            </w:pPr>
          </w:p>
        </w:tc>
      </w:tr>
      <w:tr w:rsidR="000B1FF1" w:rsidRPr="000B1FF1" w14:paraId="22293A55" w14:textId="77777777" w:rsidTr="002E5AC9">
        <w:tc>
          <w:tcPr>
            <w:tcW w:w="0" w:type="auto"/>
            <w:tcBorders>
              <w:right w:val="nil"/>
            </w:tcBorders>
            <w:hideMark/>
          </w:tcPr>
          <w:p w14:paraId="2D5AD5C7"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Deficit Amount</w:t>
            </w:r>
          </w:p>
        </w:tc>
        <w:tc>
          <w:tcPr>
            <w:tcW w:w="0" w:type="auto"/>
            <w:tcBorders>
              <w:left w:val="nil"/>
            </w:tcBorders>
            <w:hideMark/>
          </w:tcPr>
          <w:p w14:paraId="10C7F5C2" w14:textId="57595115" w:rsidR="0096466B" w:rsidRPr="000B1FF1" w:rsidRDefault="002E5AC9"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c>
          <w:tcPr>
            <w:tcW w:w="0" w:type="auto"/>
            <w:hideMark/>
          </w:tcPr>
          <w:p w14:paraId="622BCB5F" w14:textId="6B16737C"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c>
          <w:tcPr>
            <w:tcW w:w="0" w:type="auto"/>
            <w:hideMark/>
          </w:tcPr>
          <w:p w14:paraId="4525E8AF" w14:textId="412CB487"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0</w:t>
            </w:r>
          </w:p>
        </w:tc>
        <w:tc>
          <w:tcPr>
            <w:tcW w:w="0" w:type="auto"/>
            <w:hideMark/>
          </w:tcPr>
          <w:p w14:paraId="5A5C4E00" w14:textId="18888858"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0</w:t>
            </w:r>
          </w:p>
        </w:tc>
      </w:tr>
      <w:tr w:rsidR="000B1FF1" w:rsidRPr="000B1FF1" w14:paraId="4367C060" w14:textId="77777777" w:rsidTr="003243F4">
        <w:trPr>
          <w:tblHeader/>
        </w:trPr>
        <w:tc>
          <w:tcPr>
            <w:tcW w:w="0" w:type="auto"/>
            <w:gridSpan w:val="5"/>
            <w:vAlign w:val="center"/>
            <w:hideMark/>
          </w:tcPr>
          <w:p w14:paraId="22AF8AAC"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Example 2: Recovery starting in Term 3 and finishing Term 4 QCG</w:t>
            </w:r>
          </w:p>
        </w:tc>
      </w:tr>
      <w:tr w:rsidR="000B1FF1" w:rsidRPr="000B1FF1" w14:paraId="2B2DFE5B" w14:textId="77777777" w:rsidTr="003243F4">
        <w:trPr>
          <w:tblHeader/>
        </w:trPr>
        <w:tc>
          <w:tcPr>
            <w:tcW w:w="0" w:type="auto"/>
            <w:hideMark/>
          </w:tcPr>
          <w:p w14:paraId="7E4BFF2F" w14:textId="77777777" w:rsidR="0096466B" w:rsidRPr="000B1FF1" w:rsidRDefault="0096466B" w:rsidP="00ED4312">
            <w:pPr>
              <w:spacing w:after="0" w:line="240" w:lineRule="auto"/>
              <w:rPr>
                <w:rFonts w:ascii="Times New Roman" w:eastAsia="Times New Roman" w:hAnsi="Times New Roman" w:cs="Times New Roman"/>
                <w:color w:val="323E4F" w:themeColor="text2" w:themeShade="BF"/>
                <w:sz w:val="24"/>
                <w:szCs w:val="24"/>
                <w:lang w:eastAsia="en-AU"/>
              </w:rPr>
            </w:pPr>
          </w:p>
        </w:tc>
        <w:tc>
          <w:tcPr>
            <w:tcW w:w="0" w:type="auto"/>
            <w:hideMark/>
          </w:tcPr>
          <w:p w14:paraId="4489A5E2" w14:textId="77777777" w:rsidR="0096466B" w:rsidRPr="000B1FF1" w:rsidRDefault="0096466B" w:rsidP="00ED4312">
            <w:pPr>
              <w:spacing w:after="0" w:line="240" w:lineRule="atLeast"/>
              <w:rPr>
                <w:rFonts w:ascii="Times New Roman" w:eastAsia="Times New Roman" w:hAnsi="Times New Roman" w:cs="Times New Roman"/>
                <w:b/>
                <w:bCs/>
                <w:color w:val="323E4F" w:themeColor="text2" w:themeShade="BF"/>
                <w:sz w:val="20"/>
                <w:szCs w:val="20"/>
                <w:lang w:eastAsia="en-AU"/>
              </w:rPr>
            </w:pPr>
          </w:p>
        </w:tc>
        <w:tc>
          <w:tcPr>
            <w:tcW w:w="0" w:type="auto"/>
            <w:hideMark/>
          </w:tcPr>
          <w:p w14:paraId="6FADBA06"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3 QCG</w:t>
            </w:r>
          </w:p>
        </w:tc>
        <w:tc>
          <w:tcPr>
            <w:tcW w:w="0" w:type="auto"/>
            <w:hideMark/>
          </w:tcPr>
          <w:p w14:paraId="76C659BC"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4 QCG</w:t>
            </w:r>
          </w:p>
        </w:tc>
        <w:tc>
          <w:tcPr>
            <w:tcW w:w="0" w:type="auto"/>
            <w:hideMark/>
          </w:tcPr>
          <w:p w14:paraId="326D6E52" w14:textId="74F17CCD" w:rsidR="0096466B" w:rsidRPr="000B1FF1" w:rsidRDefault="002E5AC9"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EFT/</w:t>
            </w:r>
            <w:r w:rsidR="0096466B" w:rsidRPr="000B1FF1">
              <w:rPr>
                <w:rFonts w:ascii="VIC-Bold" w:eastAsia="Times New Roman" w:hAnsi="VIC-Bold" w:cs="Times New Roman"/>
                <w:color w:val="323E4F" w:themeColor="text2" w:themeShade="BF"/>
                <w:sz w:val="24"/>
                <w:szCs w:val="24"/>
                <w:lang w:eastAsia="en-AU"/>
              </w:rPr>
              <w:t>Cheque</w:t>
            </w:r>
          </w:p>
        </w:tc>
      </w:tr>
      <w:tr w:rsidR="000B1FF1" w:rsidRPr="000B1FF1" w14:paraId="734A20BE" w14:textId="77777777" w:rsidTr="002E5AC9">
        <w:tc>
          <w:tcPr>
            <w:tcW w:w="0" w:type="auto"/>
            <w:tcBorders>
              <w:bottom w:val="single" w:sz="4" w:space="0" w:color="auto"/>
            </w:tcBorders>
            <w:hideMark/>
          </w:tcPr>
          <w:p w14:paraId="1E83B63D"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QCG Amount</w:t>
            </w:r>
          </w:p>
        </w:tc>
        <w:tc>
          <w:tcPr>
            <w:tcW w:w="0" w:type="auto"/>
            <w:tcBorders>
              <w:bottom w:val="single" w:sz="4" w:space="0" w:color="auto"/>
            </w:tcBorders>
            <w:hideMark/>
          </w:tcPr>
          <w:p w14:paraId="3DF2F91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c>
          <w:tcPr>
            <w:tcW w:w="0" w:type="auto"/>
            <w:hideMark/>
          </w:tcPr>
          <w:p w14:paraId="2D4A79F0" w14:textId="02E4B893"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1D34C7D4" w14:textId="3CB90E2A"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0CE2C91D" w14:textId="77777777" w:rsidR="0096466B" w:rsidRPr="000B1FF1" w:rsidRDefault="0096466B" w:rsidP="002E5AC9">
            <w:pPr>
              <w:spacing w:after="0" w:line="360" w:lineRule="atLeast"/>
              <w:jc w:val="center"/>
              <w:rPr>
                <w:rFonts w:ascii="VIC-Regular" w:eastAsia="Times New Roman" w:hAnsi="VIC-Regular" w:cs="Times New Roman"/>
                <w:color w:val="323E4F" w:themeColor="text2" w:themeShade="BF"/>
                <w:sz w:val="24"/>
                <w:szCs w:val="24"/>
                <w:lang w:eastAsia="en-AU"/>
              </w:rPr>
            </w:pPr>
          </w:p>
        </w:tc>
      </w:tr>
      <w:tr w:rsidR="000B1FF1" w:rsidRPr="000B1FF1" w14:paraId="50C2122D" w14:textId="77777777" w:rsidTr="002E5AC9">
        <w:tc>
          <w:tcPr>
            <w:tcW w:w="0" w:type="auto"/>
            <w:tcBorders>
              <w:right w:val="nil"/>
            </w:tcBorders>
            <w:hideMark/>
          </w:tcPr>
          <w:p w14:paraId="7DD7169A"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Deficit Amount</w:t>
            </w:r>
          </w:p>
        </w:tc>
        <w:tc>
          <w:tcPr>
            <w:tcW w:w="0" w:type="auto"/>
            <w:tcBorders>
              <w:left w:val="nil"/>
            </w:tcBorders>
            <w:hideMark/>
          </w:tcPr>
          <w:p w14:paraId="3F8AFC45" w14:textId="0F246934" w:rsidR="0096466B" w:rsidRPr="000B1FF1" w:rsidRDefault="002E5AC9"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60,000</w:t>
            </w:r>
          </w:p>
        </w:tc>
        <w:tc>
          <w:tcPr>
            <w:tcW w:w="0" w:type="auto"/>
            <w:hideMark/>
          </w:tcPr>
          <w:p w14:paraId="51FCB350" w14:textId="1B899A39"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6677F281" w14:textId="22612DFD"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c>
          <w:tcPr>
            <w:tcW w:w="0" w:type="auto"/>
            <w:hideMark/>
          </w:tcPr>
          <w:p w14:paraId="229F3507" w14:textId="052DF664"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0</w:t>
            </w:r>
          </w:p>
        </w:tc>
      </w:tr>
    </w:tbl>
    <w:p w14:paraId="404030DF" w14:textId="77777777" w:rsidR="0096466B" w:rsidRPr="000B1FF1" w:rsidRDefault="0096466B" w:rsidP="0096466B">
      <w:pPr>
        <w:spacing w:after="0" w:line="360" w:lineRule="atLeast"/>
        <w:rPr>
          <w:rFonts w:ascii="VIC-Regular" w:eastAsia="Times New Roman" w:hAnsi="VIC-Regular"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6"/>
        <w:gridCol w:w="1321"/>
        <w:gridCol w:w="1807"/>
        <w:gridCol w:w="1819"/>
        <w:gridCol w:w="1903"/>
      </w:tblGrid>
      <w:tr w:rsidR="000B1FF1" w:rsidRPr="000B1FF1" w14:paraId="0125E723" w14:textId="77777777" w:rsidTr="003243F4">
        <w:trPr>
          <w:tblHeader/>
        </w:trPr>
        <w:tc>
          <w:tcPr>
            <w:tcW w:w="0" w:type="auto"/>
            <w:gridSpan w:val="5"/>
            <w:vAlign w:val="center"/>
            <w:hideMark/>
          </w:tcPr>
          <w:p w14:paraId="799FC3C2" w14:textId="77777777" w:rsidR="0096466B" w:rsidRPr="000B1FF1" w:rsidRDefault="0096466B" w:rsidP="00ED4312">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0B1FF1">
              <w:rPr>
                <w:rFonts w:ascii="VIC-Bold" w:eastAsia="Times New Roman" w:hAnsi="VIC-Bold" w:cs="Times New Roman"/>
                <w:b/>
                <w:bCs/>
                <w:color w:val="323E4F" w:themeColor="text2" w:themeShade="BF"/>
                <w:sz w:val="24"/>
                <w:szCs w:val="24"/>
                <w:lang w:eastAsia="en-AU"/>
              </w:rPr>
              <w:t>Example 3: Recovery starting in Term 3 QCG and requiring repayment by cheque</w:t>
            </w:r>
          </w:p>
        </w:tc>
      </w:tr>
      <w:tr w:rsidR="000B1FF1" w:rsidRPr="000B1FF1" w14:paraId="06D443F7" w14:textId="77777777" w:rsidTr="003243F4">
        <w:trPr>
          <w:tblHeader/>
        </w:trPr>
        <w:tc>
          <w:tcPr>
            <w:tcW w:w="0" w:type="auto"/>
            <w:hideMark/>
          </w:tcPr>
          <w:p w14:paraId="2620CE5B" w14:textId="77777777" w:rsidR="0096466B" w:rsidRPr="000B1FF1" w:rsidRDefault="0096466B" w:rsidP="00ED4312">
            <w:pPr>
              <w:spacing w:after="0" w:line="240" w:lineRule="auto"/>
              <w:rPr>
                <w:rFonts w:ascii="Times New Roman" w:eastAsia="Times New Roman" w:hAnsi="Times New Roman" w:cs="Times New Roman"/>
                <w:color w:val="323E4F" w:themeColor="text2" w:themeShade="BF"/>
                <w:sz w:val="24"/>
                <w:szCs w:val="24"/>
                <w:lang w:eastAsia="en-AU"/>
              </w:rPr>
            </w:pPr>
          </w:p>
        </w:tc>
        <w:tc>
          <w:tcPr>
            <w:tcW w:w="0" w:type="auto"/>
            <w:hideMark/>
          </w:tcPr>
          <w:p w14:paraId="53994C14" w14:textId="77777777" w:rsidR="0096466B" w:rsidRPr="000B1FF1" w:rsidRDefault="0096466B" w:rsidP="00ED4312">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3B088A7F"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3 QCG</w:t>
            </w:r>
          </w:p>
        </w:tc>
        <w:tc>
          <w:tcPr>
            <w:tcW w:w="0" w:type="auto"/>
            <w:hideMark/>
          </w:tcPr>
          <w:p w14:paraId="51B60998" w14:textId="77777777" w:rsidR="0096466B" w:rsidRPr="000B1FF1" w:rsidRDefault="0096466B"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Term 4 QCG</w:t>
            </w:r>
          </w:p>
        </w:tc>
        <w:tc>
          <w:tcPr>
            <w:tcW w:w="0" w:type="auto"/>
            <w:hideMark/>
          </w:tcPr>
          <w:p w14:paraId="4F9AF5CB" w14:textId="36E2F6CB" w:rsidR="0096466B" w:rsidRPr="000B1FF1" w:rsidRDefault="002E5AC9" w:rsidP="002E5AC9">
            <w:pPr>
              <w:spacing w:after="0" w:line="240" w:lineRule="atLeast"/>
              <w:jc w:val="center"/>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EFT/</w:t>
            </w:r>
            <w:r w:rsidR="0096466B" w:rsidRPr="000B1FF1">
              <w:rPr>
                <w:rFonts w:ascii="VIC-Bold" w:eastAsia="Times New Roman" w:hAnsi="VIC-Bold" w:cs="Times New Roman"/>
                <w:color w:val="323E4F" w:themeColor="text2" w:themeShade="BF"/>
                <w:sz w:val="24"/>
                <w:szCs w:val="24"/>
                <w:lang w:eastAsia="en-AU"/>
              </w:rPr>
              <w:t>Cheque</w:t>
            </w:r>
          </w:p>
        </w:tc>
      </w:tr>
      <w:tr w:rsidR="000B1FF1" w:rsidRPr="000B1FF1" w14:paraId="1E45F162" w14:textId="77777777" w:rsidTr="002E5AC9">
        <w:tc>
          <w:tcPr>
            <w:tcW w:w="0" w:type="auto"/>
            <w:tcBorders>
              <w:bottom w:val="single" w:sz="4" w:space="0" w:color="auto"/>
            </w:tcBorders>
            <w:hideMark/>
          </w:tcPr>
          <w:p w14:paraId="18401EB1"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QCG Amount</w:t>
            </w:r>
          </w:p>
        </w:tc>
        <w:tc>
          <w:tcPr>
            <w:tcW w:w="0" w:type="auto"/>
            <w:tcBorders>
              <w:bottom w:val="single" w:sz="4" w:space="0" w:color="auto"/>
            </w:tcBorders>
            <w:hideMark/>
          </w:tcPr>
          <w:p w14:paraId="6EE63C7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p>
        </w:tc>
        <w:tc>
          <w:tcPr>
            <w:tcW w:w="0" w:type="auto"/>
            <w:hideMark/>
          </w:tcPr>
          <w:p w14:paraId="11AAD570" w14:textId="1EDC4A86"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61CAD751" w14:textId="023DF088"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3DB33004" w14:textId="77777777" w:rsidR="0096466B" w:rsidRPr="000B1FF1" w:rsidRDefault="0096466B" w:rsidP="002E5AC9">
            <w:pPr>
              <w:spacing w:after="0" w:line="360" w:lineRule="atLeast"/>
              <w:jc w:val="center"/>
              <w:rPr>
                <w:rFonts w:ascii="VIC-Regular" w:eastAsia="Times New Roman" w:hAnsi="VIC-Regular" w:cs="Times New Roman"/>
                <w:color w:val="323E4F" w:themeColor="text2" w:themeShade="BF"/>
                <w:sz w:val="24"/>
                <w:szCs w:val="24"/>
                <w:lang w:eastAsia="en-AU"/>
              </w:rPr>
            </w:pPr>
          </w:p>
        </w:tc>
      </w:tr>
      <w:tr w:rsidR="000B1FF1" w:rsidRPr="000B1FF1" w14:paraId="29D397E3" w14:textId="77777777" w:rsidTr="002E5AC9">
        <w:tc>
          <w:tcPr>
            <w:tcW w:w="0" w:type="auto"/>
            <w:tcBorders>
              <w:right w:val="nil"/>
            </w:tcBorders>
            <w:hideMark/>
          </w:tcPr>
          <w:p w14:paraId="7C49ED9A"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Deficit Amount</w:t>
            </w:r>
          </w:p>
        </w:tc>
        <w:tc>
          <w:tcPr>
            <w:tcW w:w="0" w:type="auto"/>
            <w:tcBorders>
              <w:left w:val="nil"/>
            </w:tcBorders>
            <w:hideMark/>
          </w:tcPr>
          <w:p w14:paraId="3B2D2535" w14:textId="10296389" w:rsidR="0096466B" w:rsidRPr="000B1FF1" w:rsidRDefault="002E5AC9"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110,000</w:t>
            </w:r>
          </w:p>
        </w:tc>
        <w:tc>
          <w:tcPr>
            <w:tcW w:w="0" w:type="auto"/>
            <w:hideMark/>
          </w:tcPr>
          <w:p w14:paraId="4DF92A42" w14:textId="0423C2A9"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6AD7152B" w14:textId="6AEF87E9"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50,000</w:t>
            </w:r>
          </w:p>
        </w:tc>
        <w:tc>
          <w:tcPr>
            <w:tcW w:w="0" w:type="auto"/>
            <w:hideMark/>
          </w:tcPr>
          <w:p w14:paraId="585401BD" w14:textId="1D4140B0" w:rsidR="0096466B" w:rsidRPr="000B1FF1" w:rsidRDefault="002E5AC9" w:rsidP="002E5AC9">
            <w:pPr>
              <w:spacing w:after="0" w:line="360" w:lineRule="atLeast"/>
              <w:jc w:val="center"/>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w:t>
            </w:r>
            <w:r w:rsidR="0096466B" w:rsidRPr="000B1FF1">
              <w:rPr>
                <w:rFonts w:ascii="VIC-Regular" w:eastAsia="Times New Roman" w:hAnsi="VIC-Regular" w:cs="Times New Roman"/>
                <w:color w:val="323E4F" w:themeColor="text2" w:themeShade="BF"/>
                <w:sz w:val="24"/>
                <w:szCs w:val="24"/>
                <w:lang w:eastAsia="en-AU"/>
              </w:rPr>
              <w:t>10,000</w:t>
            </w:r>
          </w:p>
        </w:tc>
      </w:tr>
    </w:tbl>
    <w:p w14:paraId="3576AC58" w14:textId="77777777" w:rsidR="0096466B" w:rsidRDefault="0096466B" w:rsidP="0096466B"/>
    <w:p w14:paraId="24BE6D62" w14:textId="77777777" w:rsidR="0096466B" w:rsidRDefault="0096466B" w:rsidP="0096466B">
      <w:r>
        <w:br w:type="page"/>
      </w:r>
    </w:p>
    <w:p w14:paraId="38771208" w14:textId="77777777" w:rsidR="0096466B" w:rsidRPr="00DE5882" w:rsidRDefault="0096466B" w:rsidP="00842992">
      <w:pPr>
        <w:pStyle w:val="Heading2"/>
      </w:pPr>
      <w:bookmarkStart w:id="91" w:name="_Toc52796227"/>
      <w:r w:rsidRPr="00DE5882">
        <w:lastRenderedPageBreak/>
        <w:t>Reports</w:t>
      </w:r>
      <w:bookmarkEnd w:id="91"/>
    </w:p>
    <w:p w14:paraId="4AFB970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Some of the SRP reports are listed and described below.</w:t>
      </w:r>
    </w:p>
    <w:p w14:paraId="30DE6E8B" w14:textId="77777777" w:rsidR="0096466B" w:rsidRPr="00DE5882" w:rsidRDefault="0096466B" w:rsidP="0096466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DE5882">
        <w:rPr>
          <w:rFonts w:ascii="VIC-Bold" w:eastAsia="Times New Roman" w:hAnsi="VIC-Bold" w:cs="Times New Roman"/>
          <w:color w:val="011A3C"/>
          <w:sz w:val="27"/>
          <w:szCs w:val="27"/>
          <w:lang w:val="en" w:eastAsia="en-AU"/>
        </w:rPr>
        <w:t>School Budget Management Report</w:t>
      </w:r>
    </w:p>
    <w:p w14:paraId="60439366"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Summary</w:t>
      </w:r>
    </w:p>
    <w:p w14:paraId="1B7AA625" w14:textId="6FB484FA"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School Budget Management Report is a </w:t>
      </w:r>
      <w:r w:rsidR="0091293B" w:rsidRPr="00DE5882">
        <w:rPr>
          <w:rFonts w:ascii="VIC-Regular" w:eastAsia="Times New Roman" w:hAnsi="VIC-Regular" w:cs="Times New Roman"/>
          <w:color w:val="011A3C"/>
          <w:sz w:val="24"/>
          <w:szCs w:val="24"/>
          <w:lang w:val="en" w:eastAsia="en-AU"/>
        </w:rPr>
        <w:t>one-page</w:t>
      </w:r>
      <w:r w:rsidRPr="00DE5882">
        <w:rPr>
          <w:rFonts w:ascii="VIC-Regular" w:eastAsia="Times New Roman" w:hAnsi="VIC-Regular" w:cs="Times New Roman"/>
          <w:color w:val="011A3C"/>
          <w:sz w:val="24"/>
          <w:szCs w:val="24"/>
          <w:lang w:val="en" w:eastAsia="en-AU"/>
        </w:rPr>
        <w:t xml:space="preserve"> summary of budget allocations and projected expenditure for your school relating to the current calendar year. It shows the school’s financial position including the projected surplus, or deficit, as at 31 December based on current salary commitments.</w:t>
      </w:r>
    </w:p>
    <w:p w14:paraId="4B44971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report also provides information on:</w:t>
      </w:r>
    </w:p>
    <w:p w14:paraId="2165D375" w14:textId="77777777" w:rsidR="0096466B" w:rsidRPr="00DE5882" w:rsidRDefault="0096466B" w:rsidP="003243F4">
      <w:pPr>
        <w:numPr>
          <w:ilvl w:val="0"/>
          <w:numId w:val="1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surplus from previous year</w:t>
      </w:r>
    </w:p>
    <w:p w14:paraId="5A6DF184" w14:textId="77777777" w:rsidR="0096466B" w:rsidRPr="00DE5882" w:rsidRDefault="0096466B" w:rsidP="003243F4">
      <w:pPr>
        <w:numPr>
          <w:ilvl w:val="0"/>
          <w:numId w:val="1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total credit to cash transfers</w:t>
      </w:r>
    </w:p>
    <w:p w14:paraId="46D72FC4" w14:textId="77777777" w:rsidR="0096466B" w:rsidRPr="00DE5882" w:rsidRDefault="0096466B" w:rsidP="003243F4">
      <w:pPr>
        <w:numPr>
          <w:ilvl w:val="0"/>
          <w:numId w:val="1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total cash to credit transfers</w:t>
      </w:r>
    </w:p>
    <w:p w14:paraId="485051BD"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Credit Items</w:t>
      </w:r>
    </w:p>
    <w:p w14:paraId="4C5C89D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is a report for analysis of expenditure against budget. The report provides:</w:t>
      </w:r>
    </w:p>
    <w:p w14:paraId="1520D034"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year-to-date expenditure broken down into staffing</w:t>
      </w:r>
    </w:p>
    <w:p w14:paraId="26E01F3A"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classifications and on-costs</w:t>
      </w:r>
    </w:p>
    <w:p w14:paraId="7F1AC0B8"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projected credit budget position by offsetting projected salary commitments</w:t>
      </w:r>
    </w:p>
    <w:p w14:paraId="40604C14"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previous year surplus brought forward</w:t>
      </w:r>
    </w:p>
    <w:p w14:paraId="49537135"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and/or cash to credit transfers undertaken</w:t>
      </w:r>
    </w:p>
    <w:p w14:paraId="212AE535" w14:textId="6BECC896"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that finish the year in a deficit will have </w:t>
      </w:r>
      <w:r w:rsidR="0091293B">
        <w:rPr>
          <w:rFonts w:ascii="VIC-Regular" w:eastAsia="Times New Roman" w:hAnsi="VIC-Regular" w:cs="Times New Roman"/>
          <w:color w:val="011A3C"/>
          <w:sz w:val="24"/>
          <w:szCs w:val="24"/>
          <w:lang w:val="en" w:eastAsia="en-AU"/>
        </w:rPr>
        <w:t xml:space="preserve">that </w:t>
      </w:r>
      <w:r w:rsidRPr="00DE5882">
        <w:rPr>
          <w:rFonts w:ascii="VIC-Regular" w:eastAsia="Times New Roman" w:hAnsi="VIC-Regular" w:cs="Times New Roman"/>
          <w:color w:val="011A3C"/>
          <w:sz w:val="24"/>
          <w:szCs w:val="24"/>
          <w:lang w:val="en" w:eastAsia="en-AU"/>
        </w:rPr>
        <w:t xml:space="preserve">amount deducted from </w:t>
      </w:r>
      <w:r w:rsidR="0091293B">
        <w:rPr>
          <w:rFonts w:ascii="VIC-Regular" w:eastAsia="Times New Roman" w:hAnsi="VIC-Regular" w:cs="Times New Roman"/>
          <w:color w:val="011A3C"/>
          <w:sz w:val="24"/>
          <w:szCs w:val="24"/>
          <w:lang w:val="en" w:eastAsia="en-AU"/>
        </w:rPr>
        <w:t xml:space="preserve">the next </w:t>
      </w:r>
      <w:r w:rsidRPr="00DE5882">
        <w:rPr>
          <w:rFonts w:ascii="VIC-Regular" w:eastAsia="Times New Roman" w:hAnsi="VIC-Regular" w:cs="Times New Roman"/>
          <w:color w:val="011A3C"/>
          <w:sz w:val="24"/>
          <w:szCs w:val="24"/>
          <w:lang w:val="en" w:eastAsia="en-AU"/>
        </w:rPr>
        <w:t>cash grant after the annual reconciliation.</w:t>
      </w:r>
    </w:p>
    <w:p w14:paraId="05A7EBC3"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Cash Items</w:t>
      </w:r>
    </w:p>
    <w:p w14:paraId="0C92EE01" w14:textId="624A14C6" w:rsidR="003E6B76"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This report details the annual cash grant budget items provided to the school. It also includes processed credit to cash, cash to credit transfers and the long-term leave premium deduction. ‘Outside Global Budget Items — Section 3’ is included in this report and provides information relating to staff </w:t>
      </w:r>
      <w:r w:rsidRPr="00DE5882">
        <w:rPr>
          <w:rFonts w:ascii="VIC-Regular" w:eastAsia="Times New Roman" w:hAnsi="VIC-Regular" w:cs="Times New Roman"/>
          <w:color w:val="011A3C"/>
          <w:sz w:val="24"/>
          <w:szCs w:val="24"/>
          <w:lang w:val="en" w:eastAsia="en-AU"/>
        </w:rPr>
        <w:lastRenderedPageBreak/>
        <w:t>on long term leave or pay in lieu of long service leave. Outside global budget items are not charged to the school.</w:t>
      </w:r>
    </w:p>
    <w:p w14:paraId="4F0BD90E" w14:textId="77777777" w:rsidR="00F85311" w:rsidRPr="00DE5882" w:rsidRDefault="00F85311"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1C9078D"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Salaries Fortnightly Transaction Report</w:t>
      </w:r>
    </w:p>
    <w:p w14:paraId="48339BD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w:t>
      </w:r>
      <w:hyperlink r:id="rId160" w:history="1">
        <w:r w:rsidRPr="00DE5882">
          <w:rPr>
            <w:rFonts w:ascii="VIC-Regular" w:eastAsia="Times New Roman" w:hAnsi="VIC-Regular" w:cs="Times New Roman"/>
            <w:color w:val="011A3C"/>
            <w:sz w:val="24"/>
            <w:szCs w:val="24"/>
            <w:lang w:val="en" w:eastAsia="en-AU"/>
          </w:rPr>
          <w:t>Salaries Fortnightly Transaction Report</w:t>
        </w:r>
      </w:hyperlink>
      <w:r w:rsidRPr="00DE5882">
        <w:rPr>
          <w:rFonts w:ascii="VIC-Regular" w:eastAsia="Times New Roman" w:hAnsi="VIC-Regular" w:cs="Times New Roman"/>
          <w:color w:val="011A3C"/>
          <w:sz w:val="24"/>
          <w:szCs w:val="24"/>
          <w:lang w:val="en" w:eastAsia="en-AU"/>
        </w:rPr>
        <w:t xml:space="preserve"> (available through the </w:t>
      </w:r>
      <w:hyperlink r:id="rId161"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displays the salary transactions for each staff member and the year-to-date salary expenditure and payroll liability projected to the end of the calendar year. The payroll liability is based on current information recorded in eduPay. Included at the end of the report are items that have been charged outside SRP, that is not charged to the school.</w:t>
      </w:r>
    </w:p>
    <w:p w14:paraId="7EEF5FFF"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Employee Charging History Report</w:t>
      </w:r>
    </w:p>
    <w:p w14:paraId="5B6758D9" w14:textId="4D00C173"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w:t>
      </w:r>
      <w:hyperlink r:id="rId162" w:history="1">
        <w:r w:rsidRPr="00DE5882">
          <w:rPr>
            <w:rFonts w:ascii="VIC-Regular" w:eastAsia="Times New Roman" w:hAnsi="VIC-Regular" w:cs="Times New Roman"/>
            <w:color w:val="011A3C"/>
            <w:sz w:val="24"/>
            <w:szCs w:val="24"/>
            <w:lang w:val="en" w:eastAsia="en-AU"/>
          </w:rPr>
          <w:t>Employee Charging History Report</w:t>
        </w:r>
      </w:hyperlink>
      <w:r w:rsidRPr="00DE5882">
        <w:rPr>
          <w:rFonts w:ascii="VIC-Regular" w:eastAsia="Times New Roman" w:hAnsi="VIC-Regular" w:cs="Times New Roman"/>
          <w:color w:val="011A3C"/>
          <w:sz w:val="24"/>
          <w:szCs w:val="24"/>
          <w:lang w:val="en" w:eastAsia="en-AU"/>
        </w:rPr>
        <w:t xml:space="preserve"> (available through the </w:t>
      </w:r>
      <w:hyperlink r:id="rId163"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itemises the history of salary charges for individual employees, for each fortnight, expenditure year to date and a projection to the end of the year. The report is based on current eduPay information.</w:t>
      </w:r>
    </w:p>
    <w:p w14:paraId="26C86249" w14:textId="77777777" w:rsidR="0096466B" w:rsidRDefault="0096466B" w:rsidP="0096466B">
      <w:r>
        <w:br w:type="page"/>
      </w:r>
    </w:p>
    <w:p w14:paraId="706F621C" w14:textId="5769371B" w:rsidR="0096466B" w:rsidRPr="00DE5882" w:rsidRDefault="0096466B" w:rsidP="00842992">
      <w:pPr>
        <w:pStyle w:val="Heading2"/>
      </w:pPr>
      <w:bookmarkStart w:id="92" w:name="_Toc52796228"/>
      <w:r w:rsidRPr="00DE5882">
        <w:lastRenderedPageBreak/>
        <w:t>Planning</w:t>
      </w:r>
      <w:bookmarkEnd w:id="92"/>
    </w:p>
    <w:p w14:paraId="7C13B2F8"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SRP budget planner</w:t>
      </w:r>
    </w:p>
    <w:p w14:paraId="1AC5DC6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SRP budget planner (available through the </w:t>
      </w:r>
      <w:hyperlink r:id="rId164"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is a modelling tool to allow principals and other school planners to model the impact of enrolment variations and other changes impacting the Student Resource Package (SRP), and build an overall workforce plan that acknowledges current salary commitments for staff and considers the affordability of planned changes. The planner allows schools to develop three-year plans. It includes useful analytical tools and graphical information.</w:t>
      </w:r>
    </w:p>
    <w:p w14:paraId="33A4AB6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It is important to remember that the SRP budget planner is a modelling tool, not a personnel or payroll system. It can model a school’s planning scenarios, but it does not interact with the eduPay payroll to amend personnel and payroll data. Actual payroll amendments need to be made directly onto eduPay.</w:t>
      </w:r>
    </w:p>
    <w:p w14:paraId="4F4FE49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planner provides salary projections and estimates using current payroll parameters, such as classifications, time fractions, increment dates and appointment dates. Certain eduPay entries may not be reflected in the cost projections, particularly those relating to salary reassessments, arrears, or other payments that are independent of these payroll parameters. For this reason, the 'current' year-to-date figures shown in the planner may, on occasion, vary slightly from the actual expenditure shown in the School Budget Management Report.</w:t>
      </w:r>
    </w:p>
    <w:p w14:paraId="32E860CD" w14:textId="310A4294"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more information refer to </w:t>
      </w:r>
      <w:hyperlink r:id="rId165" w:history="1">
        <w:r w:rsidRPr="00DE5882">
          <w:rPr>
            <w:rFonts w:ascii="VIC-Regular" w:eastAsia="Times New Roman" w:hAnsi="VIC-Regular" w:cs="Times New Roman"/>
            <w:color w:val="011A3C"/>
            <w:sz w:val="24"/>
            <w:szCs w:val="24"/>
            <w:lang w:val="en" w:eastAsia="en-AU"/>
          </w:rPr>
          <w:t>Planner Overview</w:t>
        </w:r>
      </w:hyperlink>
    </w:p>
    <w:p w14:paraId="17D660A2" w14:textId="77777777" w:rsidR="0096466B" w:rsidRDefault="0096466B" w:rsidP="0096466B">
      <w:r>
        <w:br w:type="page"/>
      </w:r>
    </w:p>
    <w:p w14:paraId="1645D742" w14:textId="61847D5C" w:rsidR="0096466B" w:rsidRPr="00DE5882" w:rsidRDefault="0096466B" w:rsidP="00842992">
      <w:pPr>
        <w:pStyle w:val="Heading2"/>
      </w:pPr>
      <w:bookmarkStart w:id="93" w:name="_Toc52796229"/>
      <w:r w:rsidRPr="00DE5882">
        <w:lastRenderedPageBreak/>
        <w:t>Reconciliation</w:t>
      </w:r>
      <w:bookmarkEnd w:id="93"/>
    </w:p>
    <w:p w14:paraId="105FBF7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reconciliation process is undertaken at the end of the calendar year to verify each school’s Student Resource Package (SRP) budget and expenditure position. This process is completed in order to finalise any surplus amount to be carried forward, or deficit amount to be recovered.</w:t>
      </w:r>
    </w:p>
    <w:p w14:paraId="4442074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that do not sign off their school’s position hold up the process statewide, as the reconciliation requires every school in the state to finalise the process before surpluses and deficits can be confirmed.</w:t>
      </w:r>
    </w:p>
    <w:p w14:paraId="341F46EE" w14:textId="77777777" w:rsidR="0096466B" w:rsidRPr="00DE5882" w:rsidRDefault="0096466B" w:rsidP="003243F4">
      <w:pPr>
        <w:numPr>
          <w:ilvl w:val="0"/>
          <w:numId w:val="13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What to check</w:t>
      </w:r>
    </w:p>
    <w:p w14:paraId="2EF0DB26" w14:textId="77777777" w:rsidR="0096466B" w:rsidRPr="00DE5882" w:rsidRDefault="0096466B" w:rsidP="003243F4">
      <w:pPr>
        <w:numPr>
          <w:ilvl w:val="0"/>
          <w:numId w:val="13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Attestation</w:t>
      </w:r>
    </w:p>
    <w:p w14:paraId="69140D9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What to check</w:t>
      </w:r>
    </w:p>
    <w:p w14:paraId="415AD41E"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Budget</w:t>
      </w:r>
    </w:p>
    <w:p w14:paraId="5488507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review their budget details report after any change and forward enquiries to the relevant contact in the policy unit or region.</w:t>
      </w:r>
    </w:p>
    <w:p w14:paraId="0C83258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Program for students with disabilities</w:t>
      </w:r>
    </w:p>
    <w:p w14:paraId="1E441034" w14:textId="324E059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may be provided with funding through the </w:t>
      </w:r>
      <w:hyperlink r:id="rId166" w:history="1">
        <w:r w:rsidRPr="00DE5882">
          <w:rPr>
            <w:rFonts w:ascii="VIC-Regular" w:eastAsia="Times New Roman" w:hAnsi="VIC-Regular" w:cs="Times New Roman"/>
            <w:color w:val="011A3C"/>
            <w:sz w:val="24"/>
            <w:szCs w:val="24"/>
            <w:lang w:val="en" w:eastAsia="en-AU"/>
          </w:rPr>
          <w:t>Program for Students with Disabilities (PSD)</w:t>
        </w:r>
      </w:hyperlink>
      <w:r w:rsidRPr="00DE5882">
        <w:rPr>
          <w:rFonts w:ascii="VIC-Regular" w:eastAsia="Times New Roman" w:hAnsi="VIC-Regular" w:cs="Times New Roman"/>
          <w:color w:val="011A3C"/>
          <w:sz w:val="24"/>
          <w:szCs w:val="24"/>
          <w:lang w:val="en" w:eastAsia="en-AU"/>
        </w:rPr>
        <w:t xml:space="preserve">. This information should be reviewed in the </w:t>
      </w:r>
      <w:hyperlink r:id="rId167" w:history="1">
        <w:r w:rsidRPr="00DE5882">
          <w:rPr>
            <w:rFonts w:ascii="VIC-Regular" w:eastAsia="Times New Roman" w:hAnsi="VIC-Regular" w:cs="Times New Roman"/>
            <w:color w:val="011A3C"/>
            <w:sz w:val="24"/>
            <w:szCs w:val="24"/>
            <w:lang w:val="en" w:eastAsia="en-AU"/>
          </w:rPr>
          <w:t>Program for Students with Disabilities Management System (PSDMS)</w:t>
        </w:r>
      </w:hyperlink>
      <w:r w:rsidRPr="00DE5882">
        <w:rPr>
          <w:rFonts w:ascii="VIC-Regular" w:eastAsia="Times New Roman" w:hAnsi="VIC-Regular" w:cs="Times New Roman"/>
          <w:color w:val="011A3C"/>
          <w:sz w:val="24"/>
          <w:szCs w:val="24"/>
          <w:lang w:val="en" w:eastAsia="en-AU"/>
        </w:rPr>
        <w:t xml:space="preserve">. All PSD funding queries can be submitted via the </w:t>
      </w:r>
      <w:hyperlink r:id="rId168" w:history="1">
        <w:r w:rsidRPr="00DE5882">
          <w:rPr>
            <w:rFonts w:ascii="VIC-Regular" w:eastAsia="Times New Roman" w:hAnsi="VIC-Regular" w:cs="Times New Roman"/>
            <w:color w:val="011A3C"/>
            <w:sz w:val="24"/>
            <w:szCs w:val="24"/>
            <w:lang w:val="en" w:eastAsia="en-AU"/>
          </w:rPr>
          <w:t>DET Service</w:t>
        </w:r>
        <w:r w:rsidR="00557B7E">
          <w:rPr>
            <w:rFonts w:ascii="VIC-Regular" w:eastAsia="Times New Roman" w:hAnsi="VIC-Regular" w:cs="Times New Roman"/>
            <w:color w:val="011A3C"/>
            <w:sz w:val="24"/>
            <w:szCs w:val="24"/>
            <w:lang w:val="en" w:eastAsia="en-AU"/>
          </w:rPr>
          <w:t>s</w:t>
        </w:r>
        <w:r w:rsidRPr="00DE5882">
          <w:rPr>
            <w:rFonts w:ascii="VIC-Regular" w:eastAsia="Times New Roman" w:hAnsi="VIC-Regular" w:cs="Times New Roman"/>
            <w:color w:val="011A3C"/>
            <w:sz w:val="24"/>
            <w:szCs w:val="24"/>
            <w:lang w:val="en" w:eastAsia="en-AU"/>
          </w:rPr>
          <w:t xml:space="preserve"> </w:t>
        </w:r>
        <w:r w:rsidR="00557B7E">
          <w:rPr>
            <w:rFonts w:ascii="VIC-Regular" w:eastAsia="Times New Roman" w:hAnsi="VIC-Regular" w:cs="Times New Roman"/>
            <w:color w:val="011A3C"/>
            <w:sz w:val="24"/>
            <w:szCs w:val="24"/>
            <w:lang w:val="en" w:eastAsia="en-AU"/>
          </w:rPr>
          <w:t>Portal</w:t>
        </w:r>
      </w:hyperlink>
      <w:r w:rsidRPr="00DE5882">
        <w:rPr>
          <w:rFonts w:ascii="VIC-Regular" w:eastAsia="Times New Roman" w:hAnsi="VIC-Regular" w:cs="Times New Roman"/>
          <w:color w:val="011A3C"/>
          <w:sz w:val="24"/>
          <w:szCs w:val="24"/>
          <w:lang w:val="en" w:eastAsia="en-AU"/>
        </w:rPr>
        <w:t xml:space="preserve"> (select 'log a request' and choose 'PSDMS').</w:t>
      </w:r>
    </w:p>
    <w:p w14:paraId="342E520A"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Cleaning</w:t>
      </w:r>
    </w:p>
    <w:p w14:paraId="700E177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cleaning allocation for a school is based on the physical dimensions of the buildings and the schools enrolments (visit </w:t>
      </w:r>
      <w:hyperlink r:id="rId169" w:history="1">
        <w:r w:rsidRPr="00DE5882">
          <w:rPr>
            <w:rFonts w:ascii="VIC-Regular" w:eastAsia="Times New Roman" w:hAnsi="VIC-Regular" w:cs="Times New Roman"/>
            <w:color w:val="011A3C"/>
            <w:sz w:val="24"/>
            <w:szCs w:val="24"/>
            <w:lang w:val="en" w:eastAsia="en-AU"/>
          </w:rPr>
          <w:t>Contract Cleaning</w:t>
        </w:r>
      </w:hyperlink>
      <w:r w:rsidRPr="00DE5882">
        <w:rPr>
          <w:rFonts w:ascii="VIC-Regular" w:eastAsia="Times New Roman" w:hAnsi="VIC-Regular" w:cs="Times New Roman"/>
          <w:color w:val="011A3C"/>
          <w:sz w:val="24"/>
          <w:szCs w:val="24"/>
          <w:lang w:val="en" w:eastAsia="en-AU"/>
        </w:rPr>
        <w:t>). Schools should ensure that their school information in the Atrium system is correct to ensure that they are receiving the correct cleaning budget. </w:t>
      </w:r>
    </w:p>
    <w:p w14:paraId="67A7BF52"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Salary expenditure</w:t>
      </w:r>
    </w:p>
    <w:p w14:paraId="29638D86" w14:textId="75D80C83"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ensure that they have been charged correctly for all staff at their school in their SRP</w:t>
      </w:r>
      <w:r w:rsidR="0091293B">
        <w:rPr>
          <w:rFonts w:ascii="VIC-Regular" w:eastAsia="Times New Roman" w:hAnsi="VIC-Regular" w:cs="Times New Roman"/>
          <w:color w:val="011A3C"/>
          <w:sz w:val="24"/>
          <w:szCs w:val="24"/>
          <w:lang w:val="en" w:eastAsia="en-AU"/>
        </w:rPr>
        <w:t xml:space="preserve"> by monitoring fortnightly reports when they are published</w:t>
      </w:r>
      <w:r w:rsidR="0091293B" w:rsidRPr="00DE5882">
        <w:rPr>
          <w:rFonts w:ascii="VIC-Regular" w:eastAsia="Times New Roman" w:hAnsi="VIC-Regular" w:cs="Times New Roman"/>
          <w:color w:val="011A3C"/>
          <w:sz w:val="24"/>
          <w:szCs w:val="24"/>
          <w:lang w:val="en" w:eastAsia="en-AU"/>
        </w:rPr>
        <w:t>.</w:t>
      </w:r>
    </w:p>
    <w:p w14:paraId="6B391443"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lastRenderedPageBreak/>
        <w:t>Credit to cash</w:t>
      </w:r>
      <w:r w:rsidRPr="003243F4">
        <w:rPr>
          <w:rFonts w:ascii="VIC-Regular" w:eastAsia="Times New Roman" w:hAnsi="VIC-Regular" w:cs="Times New Roman" w:hint="eastAsia"/>
          <w:b/>
          <w:bCs/>
          <w:color w:val="011A3C"/>
          <w:sz w:val="24"/>
          <w:szCs w:val="24"/>
          <w:lang w:val="en" w:eastAsia="en-AU"/>
        </w:rPr>
        <w:t> </w:t>
      </w:r>
      <w:r w:rsidRPr="003243F4">
        <w:rPr>
          <w:rFonts w:ascii="VIC-Regular" w:eastAsia="Times New Roman" w:hAnsi="VIC-Regular" w:cs="Times New Roman"/>
          <w:b/>
          <w:bCs/>
          <w:color w:val="011A3C"/>
          <w:sz w:val="24"/>
          <w:szCs w:val="24"/>
          <w:lang w:val="en" w:eastAsia="en-AU"/>
        </w:rPr>
        <w:t>or Cash to credit</w:t>
      </w:r>
    </w:p>
    <w:p w14:paraId="07CB2C3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ensure that there are no outstanding cash to credit or credit to cash amounts remaining at the end of the year. This can be done by checking the Credit and Cash Transfer Status report for your school. If there are outstanding requests, a correction should be made during the reconciliation attestation process to cancel the outstanding amount of the request.</w:t>
      </w:r>
    </w:p>
    <w:p w14:paraId="186C777A"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Attestation</w:t>
      </w:r>
    </w:p>
    <w:p w14:paraId="143044F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end of year attestation process represents recognition by the school principal that the school’s SRP position is correctly shown in the reports or that the position will be represented correctly factoring in nominated corrections and amendments. </w:t>
      </w:r>
    </w:p>
    <w:p w14:paraId="1AD2495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During the reconciliation period, only adjustments submitted via the reconciliation attestation process will be investigated, and no adjustments will be made to the school reports until after the reconciliation is submitted. When completing the attestation process, a principal has two options:</w:t>
      </w:r>
    </w:p>
    <w:p w14:paraId="10545C62" w14:textId="77777777" w:rsidR="0096466B" w:rsidRPr="00DE5882" w:rsidRDefault="0096466B" w:rsidP="003243F4">
      <w:pPr>
        <w:numPr>
          <w:ilvl w:val="0"/>
          <w:numId w:val="13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b/>
          <w:bCs/>
          <w:color w:val="011A3C"/>
          <w:sz w:val="24"/>
          <w:szCs w:val="24"/>
          <w:lang w:val="en" w:eastAsia="en-AU"/>
        </w:rPr>
        <w:t>Attest </w:t>
      </w:r>
      <w:r w:rsidRPr="00DE5882">
        <w:rPr>
          <w:rFonts w:ascii="VIC-Regular" w:eastAsia="Times New Roman" w:hAnsi="VIC-Regular" w:cs="Times New Roman"/>
          <w:color w:val="011A3C"/>
          <w:sz w:val="24"/>
          <w:szCs w:val="24"/>
          <w:lang w:val="en" w:eastAsia="en-AU"/>
        </w:rPr>
        <w:br/>
        <w:t>The SRP reports, as shown, accurately reflect the end of year position for the school and no amendments need to be made.</w:t>
      </w:r>
    </w:p>
    <w:p w14:paraId="45FC1FFC" w14:textId="502B44DF" w:rsidR="0096466B" w:rsidRPr="00A9180D" w:rsidRDefault="0096466B" w:rsidP="0096466B">
      <w:pPr>
        <w:numPr>
          <w:ilvl w:val="0"/>
          <w:numId w:val="13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b/>
          <w:bCs/>
          <w:color w:val="011A3C"/>
          <w:sz w:val="24"/>
          <w:szCs w:val="24"/>
          <w:lang w:val="en" w:eastAsia="en-AU"/>
        </w:rPr>
        <w:t>Attest with corrections and amendments</w:t>
      </w:r>
      <w:r w:rsidRPr="00DE5882">
        <w:rPr>
          <w:rFonts w:ascii="VIC-Regular" w:eastAsia="Times New Roman" w:hAnsi="VIC-Regular" w:cs="Times New Roman"/>
          <w:color w:val="011A3C"/>
          <w:sz w:val="24"/>
          <w:szCs w:val="24"/>
          <w:lang w:val="en" w:eastAsia="en-AU"/>
        </w:rPr>
        <w:br/>
        <w:t>If corrections or amendments need to be made, you can submit your attestation with corrections or amendments attached. These corrections or amendments will then be investigated by Schools Finance and Resources Branch staff and appropriate action taken.</w:t>
      </w:r>
    </w:p>
    <w:p w14:paraId="7463E52E" w14:textId="77777777" w:rsidR="0096466B" w:rsidRDefault="0096466B" w:rsidP="0096466B">
      <w:r>
        <w:br w:type="page"/>
      </w:r>
    </w:p>
    <w:p w14:paraId="375BFF5C" w14:textId="31097717" w:rsidR="0096466B" w:rsidRPr="00DE5882" w:rsidRDefault="0096466B" w:rsidP="00842992">
      <w:pPr>
        <w:pStyle w:val="Heading2"/>
      </w:pPr>
      <w:bookmarkStart w:id="94" w:name="_Toc52796230"/>
      <w:r w:rsidRPr="00DE5882">
        <w:lastRenderedPageBreak/>
        <w:t>Cash</w:t>
      </w:r>
      <w:bookmarkEnd w:id="94"/>
    </w:p>
    <w:p w14:paraId="5F604AC1"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Quarterly cash grant</w:t>
      </w:r>
    </w:p>
    <w:p w14:paraId="0C20C24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cash component of the Student Resource Package (SRP) is paid over four quarterly cash grant (QCG) payments on the first day of each term. These payments are based on:</w:t>
      </w:r>
    </w:p>
    <w:p w14:paraId="5FC8FFEB"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1 grant — Indicative SRP using projected enrolments</w:t>
      </w:r>
    </w:p>
    <w:p w14:paraId="3D0EBF13"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2 grant — Confirmed SRP using February census enrolments, with a retrospective adjustment (increase or decrease) for Term 1</w:t>
      </w:r>
    </w:p>
    <w:p w14:paraId="79C51A89"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3 grant — Revised SRP using audit corrections to the February enrolments</w:t>
      </w:r>
    </w:p>
    <w:p w14:paraId="1997E36C"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4 grant — Revised SRP using audit corrections to the February enrolments</w:t>
      </w:r>
    </w:p>
    <w:p w14:paraId="72FC5E3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Census enrolments are subject to audit corrections. In this event both credit allocations and cash grants are adjusted.</w:t>
      </w:r>
    </w:p>
    <w:p w14:paraId="56B6E50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QCG can include:</w:t>
      </w:r>
    </w:p>
    <w:p w14:paraId="417D2C5D"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Cash allocations from the SRP</w:t>
      </w:r>
    </w:p>
    <w:p w14:paraId="7A1BB80F"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 amounts from SRP</w:t>
      </w:r>
    </w:p>
    <w:p w14:paraId="14711435"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Other cash grant amounts such as school support</w:t>
      </w:r>
    </w:p>
    <w:p w14:paraId="5120F95D"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Deductions for long term sick leave premium</w:t>
      </w:r>
    </w:p>
    <w:p w14:paraId="790B42E4"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Other departmental deductions, for example Yubi Key purchases</w:t>
      </w:r>
    </w:p>
    <w:p w14:paraId="40122A6D" w14:textId="77777777" w:rsidR="0096466B" w:rsidRPr="00DE5882" w:rsidRDefault="0096466B" w:rsidP="0096466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DE5882">
        <w:rPr>
          <w:rFonts w:ascii="VIC-Bold" w:eastAsia="Times New Roman" w:hAnsi="VIC-Bold" w:cs="Times New Roman"/>
          <w:color w:val="011A3C"/>
          <w:sz w:val="27"/>
          <w:szCs w:val="27"/>
          <w:lang w:val="en" w:eastAsia="en-AU"/>
        </w:rPr>
        <w:t>Electronic Funds Transfer (EFT) remittance advice (how SRP cash appears)</w:t>
      </w:r>
    </w:p>
    <w:p w14:paraId="13F26C5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Accounts Payable area, in DET’s Financial Services Division, provides schools with a remittance advice for every payment that is made to the school. Schools should email Cash Management Unit </w:t>
      </w:r>
      <w:hyperlink r:id="rId170" w:history="1">
        <w:r w:rsidRPr="00DE5882">
          <w:rPr>
            <w:rFonts w:ascii="VIC-Regular" w:eastAsia="Times New Roman" w:hAnsi="VIC-Regular" w:cs="Times New Roman"/>
            <w:color w:val="011A3C"/>
            <w:sz w:val="24"/>
            <w:szCs w:val="24"/>
            <w:lang w:val="en" w:eastAsia="en-AU"/>
          </w:rPr>
          <w:t>cashmanagement@edumail.vic.gov.au</w:t>
        </w:r>
      </w:hyperlink>
      <w:r w:rsidRPr="00DE5882">
        <w:rPr>
          <w:rFonts w:ascii="VIC-Regular" w:eastAsia="Times New Roman" w:hAnsi="VIC-Regular" w:cs="Times New Roman"/>
          <w:color w:val="011A3C"/>
          <w:sz w:val="24"/>
          <w:szCs w:val="24"/>
          <w:lang w:val="en" w:eastAsia="en-AU"/>
        </w:rPr>
        <w:t xml:space="preserve"> for assistance with EFT queries.</w:t>
      </w:r>
    </w:p>
    <w:p w14:paraId="5633302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remittance advice provides a breakdown and a description for each component of the payment. Payments made from the SRP or strategic programs will appear on this remittance advice. There are three different types of descriptions that may appear on the remittance advice for a QCG payment:</w:t>
      </w:r>
    </w:p>
    <w:p w14:paraId="04CB2D4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1. SRP</w:t>
      </w:r>
      <w:r w:rsidRPr="003243F4">
        <w:rPr>
          <w:rFonts w:ascii="VIC-Bold" w:eastAsia="Times New Roman" w:hAnsi="VIC-Bold" w:cs="Times New Roman" w:hint="eastAsia"/>
          <w:b/>
          <w:bCs/>
          <w:color w:val="011A3C"/>
          <w:sz w:val="24"/>
          <w:szCs w:val="24"/>
          <w:lang w:val="en" w:eastAsia="en-AU"/>
        </w:rPr>
        <w:t> </w:t>
      </w:r>
      <w:r w:rsidRPr="003243F4">
        <w:rPr>
          <w:rFonts w:ascii="VIC-Bold" w:eastAsia="Times New Roman" w:hAnsi="VIC-Bold" w:cs="Times New Roman"/>
          <w:b/>
          <w:bCs/>
          <w:color w:val="011A3C"/>
          <w:sz w:val="24"/>
          <w:szCs w:val="24"/>
          <w:lang w:val="en" w:eastAsia="en-AU"/>
        </w:rPr>
        <w:t>quarterly cash grant payment</w:t>
      </w:r>
    </w:p>
    <w:p w14:paraId="0193A50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payment includes SRP budget allocations, credit and cash transfers and any deductions:</w:t>
      </w:r>
    </w:p>
    <w:p w14:paraId="182DC60C" w14:textId="77777777" w:rsidR="0096466B" w:rsidRPr="00DE5882" w:rsidRDefault="0096466B" w:rsidP="003243F4">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&lt;term 1-4&gt; QUARTERLY CASH GRANT - CASES21 Finance General Ledger &lt;GL Code&gt;: Sub Program &lt;Sub Program Code&gt;</w:t>
      </w:r>
    </w:p>
    <w:p w14:paraId="2F13740F"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2. Other payments</w:t>
      </w:r>
    </w:p>
    <w:p w14:paraId="18581D2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Some schools will receive other forms of payment through the SRP payments system at the same time as the QCG:</w:t>
      </w:r>
    </w:p>
    <w:p w14:paraId="076458F9" w14:textId="77777777" w:rsidR="0096466B" w:rsidRPr="00DE5882" w:rsidRDefault="0096466B" w:rsidP="003243F4">
      <w:pPr>
        <w:numPr>
          <w:ilvl w:val="0"/>
          <w:numId w:val="1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&lt;term 1-4&gt; QUARTERLY CASH GRANT – Other Cash Grants - &lt;Other Cash Grants - CASES21 Finance General Ledger &lt;GL Code&gt;: Sub Program &lt;Sub Program Code&gt;</w:t>
      </w:r>
    </w:p>
    <w:p w14:paraId="2FB60FD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Definitions</w:t>
      </w:r>
    </w:p>
    <w:p w14:paraId="7689FF2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samples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982"/>
        <w:gridCol w:w="7044"/>
      </w:tblGrid>
      <w:tr w:rsidR="0096466B" w:rsidRPr="00DE5882" w14:paraId="0977D219" w14:textId="77777777" w:rsidTr="00ED4312">
        <w:trPr>
          <w:tblHeader/>
        </w:trPr>
        <w:tc>
          <w:tcPr>
            <w:tcW w:w="0" w:type="auto"/>
            <w:hideMark/>
          </w:tcPr>
          <w:p w14:paraId="270EA080"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Placeholder</w:t>
            </w:r>
          </w:p>
        </w:tc>
        <w:tc>
          <w:tcPr>
            <w:tcW w:w="0" w:type="auto"/>
            <w:hideMark/>
          </w:tcPr>
          <w:p w14:paraId="77300D36"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Definition</w:t>
            </w:r>
          </w:p>
        </w:tc>
      </w:tr>
      <w:tr w:rsidR="0096466B" w:rsidRPr="00DE5882" w14:paraId="4DCFB326" w14:textId="77777777" w:rsidTr="00ED4312">
        <w:tc>
          <w:tcPr>
            <w:tcW w:w="0" w:type="auto"/>
            <w:hideMark/>
          </w:tcPr>
          <w:p w14:paraId="54C3B7C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&lt;batch number&gt;</w:t>
            </w:r>
          </w:p>
        </w:tc>
        <w:tc>
          <w:tcPr>
            <w:tcW w:w="0" w:type="auto"/>
            <w:hideMark/>
          </w:tcPr>
          <w:p w14:paraId="736D93E5" w14:textId="7C64FEB0"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A </w:t>
            </w:r>
            <w:r w:rsidR="0091293B" w:rsidRPr="000B1FF1">
              <w:rPr>
                <w:rFonts w:ascii="VIC-Regular" w:eastAsia="Times New Roman" w:hAnsi="VIC-Regular" w:cs="Times New Roman"/>
                <w:color w:val="323E4F" w:themeColor="text2" w:themeShade="BF"/>
                <w:sz w:val="24"/>
                <w:szCs w:val="24"/>
                <w:lang w:eastAsia="en-AU"/>
              </w:rPr>
              <w:t>6-digit</w:t>
            </w:r>
            <w:r w:rsidRPr="000B1FF1">
              <w:rPr>
                <w:rFonts w:ascii="VIC-Regular" w:eastAsia="Times New Roman" w:hAnsi="VIC-Regular" w:cs="Times New Roman"/>
                <w:color w:val="323E4F" w:themeColor="text2" w:themeShade="BF"/>
                <w:sz w:val="24"/>
                <w:szCs w:val="24"/>
                <w:lang w:eastAsia="en-AU"/>
              </w:rPr>
              <w:t xml:space="preserve"> number, for example: 000999 The SRP identifier of the payment, this can be used to look up a payment within the SRP reports, or can be quoted to SRP support staff when you are making an enquiry regarding your payment.</w:t>
            </w:r>
          </w:p>
        </w:tc>
      </w:tr>
      <w:tr w:rsidR="0096466B" w:rsidRPr="00DE5882" w14:paraId="2A2CF03B" w14:textId="77777777" w:rsidTr="00ED4312">
        <w:tc>
          <w:tcPr>
            <w:tcW w:w="0" w:type="auto"/>
            <w:hideMark/>
          </w:tcPr>
          <w:p w14:paraId="3418957E"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&lt;Term1-4&gt;</w:t>
            </w:r>
          </w:p>
        </w:tc>
        <w:tc>
          <w:tcPr>
            <w:tcW w:w="0" w:type="auto"/>
            <w:hideMark/>
          </w:tcPr>
          <w:p w14:paraId="2E2BD0B3"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Indicates the Term for the QCG payment, possible values are: </w:t>
            </w:r>
          </w:p>
          <w:p w14:paraId="61F23945" w14:textId="77777777" w:rsidR="0096466B" w:rsidRPr="000B1FF1" w:rsidRDefault="0096466B" w:rsidP="003243F4">
            <w:pPr>
              <w:numPr>
                <w:ilvl w:val="0"/>
                <w:numId w:val="141"/>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1</w:t>
            </w:r>
          </w:p>
          <w:p w14:paraId="248BE888" w14:textId="77777777" w:rsidR="0096466B" w:rsidRPr="000B1FF1" w:rsidRDefault="0096466B" w:rsidP="003243F4">
            <w:pPr>
              <w:numPr>
                <w:ilvl w:val="0"/>
                <w:numId w:val="141"/>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2</w:t>
            </w:r>
          </w:p>
          <w:p w14:paraId="2664626E" w14:textId="77777777" w:rsidR="0096466B" w:rsidRPr="000B1FF1" w:rsidRDefault="0096466B" w:rsidP="003243F4">
            <w:pPr>
              <w:numPr>
                <w:ilvl w:val="0"/>
                <w:numId w:val="141"/>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3</w:t>
            </w:r>
          </w:p>
          <w:p w14:paraId="7420D233" w14:textId="77777777" w:rsidR="0096466B" w:rsidRPr="000B1FF1" w:rsidRDefault="0096466B" w:rsidP="003243F4">
            <w:pPr>
              <w:numPr>
                <w:ilvl w:val="0"/>
                <w:numId w:val="141"/>
              </w:numPr>
              <w:spacing w:before="100" w:beforeAutospacing="1" w:after="100" w:afterAutospacing="1"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TERM 4</w:t>
            </w:r>
          </w:p>
        </w:tc>
      </w:tr>
      <w:tr w:rsidR="0096466B" w:rsidRPr="00DE5882" w14:paraId="7BEDAB32" w14:textId="77777777" w:rsidTr="00ED4312">
        <w:tc>
          <w:tcPr>
            <w:tcW w:w="0" w:type="auto"/>
            <w:hideMark/>
          </w:tcPr>
          <w:p w14:paraId="1908CB1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&lt;GST Status&gt;</w:t>
            </w:r>
          </w:p>
        </w:tc>
        <w:tc>
          <w:tcPr>
            <w:tcW w:w="0" w:type="auto"/>
            <w:hideMark/>
          </w:tcPr>
          <w:p w14:paraId="01643263" w14:textId="0D4386E6"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Indicates if the payment is subject to </w:t>
            </w:r>
            <w:r w:rsidR="0091293B" w:rsidRPr="000B1FF1">
              <w:rPr>
                <w:rFonts w:ascii="VIC-Regular" w:eastAsia="Times New Roman" w:hAnsi="VIC-Regular" w:cs="Times New Roman"/>
                <w:color w:val="323E4F" w:themeColor="text2" w:themeShade="BF"/>
                <w:sz w:val="24"/>
                <w:szCs w:val="24"/>
                <w:lang w:eastAsia="en-AU"/>
              </w:rPr>
              <w:t>GST and</w:t>
            </w:r>
            <w:r w:rsidRPr="000B1FF1">
              <w:rPr>
                <w:rFonts w:ascii="VIC-Regular" w:eastAsia="Times New Roman" w:hAnsi="VIC-Regular" w:cs="Times New Roman"/>
                <w:color w:val="323E4F" w:themeColor="text2" w:themeShade="BF"/>
                <w:sz w:val="24"/>
                <w:szCs w:val="24"/>
                <w:lang w:eastAsia="en-AU"/>
              </w:rPr>
              <w:t xml:space="preserve"> provides the appropriate code for use in CASES21 Finance. </w:t>
            </w:r>
            <w:r w:rsidR="0091293B" w:rsidRPr="000B1FF1">
              <w:rPr>
                <w:rFonts w:ascii="VIC-Regular" w:eastAsia="Times New Roman" w:hAnsi="VIC-Regular" w:cs="Times New Roman"/>
                <w:color w:val="323E4F" w:themeColor="text2" w:themeShade="BF"/>
                <w:sz w:val="24"/>
                <w:szCs w:val="24"/>
                <w:lang w:eastAsia="en-AU"/>
              </w:rPr>
              <w:t>Most</w:t>
            </w:r>
            <w:r w:rsidRPr="000B1FF1">
              <w:rPr>
                <w:rFonts w:ascii="VIC-Regular" w:eastAsia="Times New Roman" w:hAnsi="VIC-Regular" w:cs="Times New Roman"/>
                <w:color w:val="323E4F" w:themeColor="text2" w:themeShade="BF"/>
                <w:sz w:val="24"/>
                <w:szCs w:val="24"/>
                <w:lang w:eastAsia="en-AU"/>
              </w:rPr>
              <w:t xml:space="preserve"> payments occurring through the SRP payment system will </w:t>
            </w:r>
            <w:r w:rsidRPr="000B1FF1">
              <w:rPr>
                <w:rFonts w:ascii="VIC-Regular" w:eastAsia="Times New Roman" w:hAnsi="VIC-Regular" w:cs="Times New Roman"/>
                <w:color w:val="323E4F" w:themeColor="text2" w:themeShade="BF"/>
                <w:sz w:val="24"/>
                <w:szCs w:val="24"/>
                <w:lang w:eastAsia="en-AU"/>
              </w:rPr>
              <w:lastRenderedPageBreak/>
              <w:t>not be subject to GST and therefore this will be set to 'Not Subject to GST (Code NS6)'.</w:t>
            </w:r>
          </w:p>
        </w:tc>
      </w:tr>
      <w:tr w:rsidR="0096466B" w:rsidRPr="00DE5882" w14:paraId="3F153A96" w14:textId="77777777" w:rsidTr="00ED4312">
        <w:tc>
          <w:tcPr>
            <w:tcW w:w="0" w:type="auto"/>
            <w:hideMark/>
          </w:tcPr>
          <w:p w14:paraId="67CD95F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lastRenderedPageBreak/>
              <w:t>&lt;GL Code&gt;</w:t>
            </w:r>
          </w:p>
        </w:tc>
        <w:tc>
          <w:tcPr>
            <w:tcW w:w="0" w:type="auto"/>
            <w:hideMark/>
          </w:tcPr>
          <w:p w14:paraId="54FE692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code against which to record the payment.</w:t>
            </w:r>
          </w:p>
        </w:tc>
      </w:tr>
      <w:tr w:rsidR="0096466B" w:rsidRPr="00DE5882" w14:paraId="47615C1E" w14:textId="77777777" w:rsidTr="00ED4312">
        <w:tc>
          <w:tcPr>
            <w:tcW w:w="0" w:type="auto"/>
            <w:hideMark/>
          </w:tcPr>
          <w:p w14:paraId="2C756D87"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&lt;Sub Program Code&gt;</w:t>
            </w:r>
          </w:p>
        </w:tc>
        <w:tc>
          <w:tcPr>
            <w:tcW w:w="0" w:type="auto"/>
            <w:hideMark/>
          </w:tcPr>
          <w:p w14:paraId="2FF79023"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sub-program code against which to record the payment (may not appear for all payments).</w:t>
            </w:r>
          </w:p>
        </w:tc>
      </w:tr>
      <w:tr w:rsidR="0096466B" w:rsidRPr="00DE5882" w14:paraId="065134CB" w14:textId="77777777" w:rsidTr="00ED4312">
        <w:tc>
          <w:tcPr>
            <w:tcW w:w="0" w:type="auto"/>
            <w:hideMark/>
          </w:tcPr>
          <w:p w14:paraId="7D17B6B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&lt;Other Cash Grants Description&gt;</w:t>
            </w:r>
          </w:p>
        </w:tc>
        <w:tc>
          <w:tcPr>
            <w:tcW w:w="0" w:type="auto"/>
            <w:hideMark/>
          </w:tcPr>
          <w:p w14:paraId="11C9D085"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If the payment is of the type ‘Other Cash Grants’, a more detailed description will be provided.</w:t>
            </w:r>
          </w:p>
        </w:tc>
      </w:tr>
    </w:tbl>
    <w:p w14:paraId="7463053E"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Credit and Cash transfers (CCT)</w:t>
      </w:r>
    </w:p>
    <w:p w14:paraId="15CD0FE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Eligibility</w:t>
      </w:r>
    </w:p>
    <w:p w14:paraId="76E754BF" w14:textId="729AD4C2"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w:t>
      </w:r>
      <w:r w:rsidR="0091293B" w:rsidRPr="00DE5882">
        <w:rPr>
          <w:rFonts w:ascii="VIC-Regular" w:eastAsia="Times New Roman" w:hAnsi="VIC-Regular" w:cs="Times New Roman"/>
          <w:color w:val="011A3C"/>
          <w:sz w:val="24"/>
          <w:szCs w:val="24"/>
          <w:lang w:val="en" w:eastAsia="en-AU"/>
        </w:rPr>
        <w:t>can</w:t>
      </w:r>
      <w:r w:rsidRPr="00DE5882">
        <w:rPr>
          <w:rFonts w:ascii="VIC-Regular" w:eastAsia="Times New Roman" w:hAnsi="VIC-Regular" w:cs="Times New Roman"/>
          <w:color w:val="011A3C"/>
          <w:sz w:val="24"/>
          <w:szCs w:val="24"/>
          <w:lang w:val="en" w:eastAsia="en-AU"/>
        </w:rPr>
        <w:t xml:space="preserve"> undertake a credit to cash transfer for uncommitted credit allocations in the SRP. In addition, schools may undertake cash to credit transfers in instances where it is planned to use the cash component of the SRP to appoint ongoing or fixed-term staff on eduPay. Care must be taken when appointing ongoing staff in this way to ensure the position can continue to be funded in future years. Cash to credit transfers must include provision for salary on-costs (payroll tax and superannuation).</w:t>
      </w:r>
    </w:p>
    <w:p w14:paraId="23AB291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Submitting requests</w:t>
      </w:r>
    </w:p>
    <w:p w14:paraId="78530015" w14:textId="2AEE48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w:t>
      </w:r>
      <w:r w:rsidR="0091293B" w:rsidRPr="00DE5882">
        <w:rPr>
          <w:rFonts w:ascii="VIC-Regular" w:eastAsia="Times New Roman" w:hAnsi="VIC-Regular" w:cs="Times New Roman"/>
          <w:color w:val="011A3C"/>
          <w:sz w:val="24"/>
          <w:szCs w:val="24"/>
          <w:lang w:val="en" w:eastAsia="en-AU"/>
        </w:rPr>
        <w:t>can</w:t>
      </w:r>
      <w:r w:rsidRPr="00DE5882">
        <w:rPr>
          <w:rFonts w:ascii="VIC-Regular" w:eastAsia="Times New Roman" w:hAnsi="VIC-Regular" w:cs="Times New Roman"/>
          <w:color w:val="011A3C"/>
          <w:sz w:val="24"/>
          <w:szCs w:val="24"/>
          <w:lang w:val="en" w:eastAsia="en-AU"/>
        </w:rPr>
        <w:t xml:space="preserve"> undertake CCT request using the online Credit Cash Transfer module by selecting ‘CCT’ (Credit Cash Transfer) on the SRP Portal.  Access to the Credit Cash Transfer module is limited to the principal or the principal’s delegate and requires an authenticated </w:t>
      </w:r>
      <w:r w:rsidR="0091293B">
        <w:rPr>
          <w:rFonts w:ascii="VIC-Regular" w:eastAsia="Times New Roman" w:hAnsi="VIC-Regular" w:cs="Times New Roman"/>
          <w:color w:val="011A3C"/>
          <w:sz w:val="24"/>
          <w:szCs w:val="24"/>
          <w:lang w:val="en" w:eastAsia="en-AU"/>
        </w:rPr>
        <w:t xml:space="preserve">username </w:t>
      </w:r>
      <w:r w:rsidRPr="00DE5882">
        <w:rPr>
          <w:rFonts w:ascii="VIC-Regular" w:eastAsia="Times New Roman" w:hAnsi="VIC-Regular" w:cs="Times New Roman"/>
          <w:color w:val="011A3C"/>
          <w:sz w:val="24"/>
          <w:szCs w:val="24"/>
          <w:lang w:val="en" w:eastAsia="en-AU"/>
        </w:rPr>
        <w:t>and password.​</w:t>
      </w:r>
    </w:p>
    <w:p w14:paraId="23372B74" w14:textId="125EBD13" w:rsidR="0096466B" w:rsidRPr="00DE5882" w:rsidRDefault="0091293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Since </w:t>
      </w:r>
      <w:r w:rsidR="0096466B" w:rsidRPr="00DE5882">
        <w:rPr>
          <w:rFonts w:ascii="VIC-Regular" w:eastAsia="Times New Roman" w:hAnsi="VIC-Regular" w:cs="Times New Roman"/>
          <w:color w:val="011A3C"/>
          <w:sz w:val="24"/>
          <w:szCs w:val="24"/>
          <w:lang w:val="en" w:eastAsia="en-AU"/>
        </w:rPr>
        <w:t>2019, schools are required to nominate a category that identifies the purpose of the CCT. In addition, there is the ability to attach supporting information to the request.</w:t>
      </w:r>
    </w:p>
    <w:p w14:paraId="168AC48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list of categories, and some suggestions as to the type of supporting information required, are outlined below. Where possible or relevant, schools should try to link the submission back to Annual Implementation Plans, School Strategic Plans, Professional Learning Plans or the School Cash Budget.</w:t>
      </w:r>
    </w:p>
    <w:p w14:paraId="64A147A7"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1. Capital Works</w:t>
      </w:r>
    </w:p>
    <w:p w14:paraId="1A46B3C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school capital works, such as building additions or refurbishment of buildings or facilities.  If the project is being undertaken with the Victorian Schools Building Authority (VSBA), noting this and providing a VSBA reference would be useful information to provide.  If the project is not being undertaken with the VSBA support, schools should endeavour to attach relevant project information.</w:t>
      </w:r>
    </w:p>
    <w:p w14:paraId="256A9DAD"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2. Equipment</w:t>
      </w:r>
    </w:p>
    <w:p w14:paraId="449EE011" w14:textId="26FDF5EE" w:rsidR="003E6B76"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the purchasing of new equipment. As an example, supporting Information may be a quote / scheduling for the installation, etc.  (Note:  If the equipment is being purchased to support a Curriculum program then it should be categorised as part of the Curriculum Program)</w:t>
      </w:r>
    </w:p>
    <w:p w14:paraId="6E7C9B71"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3. Maintenance</w:t>
      </w:r>
    </w:p>
    <w:p w14:paraId="3D642C6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general maintenance in schools. As an example, supporting Information may include the type of maintenance that is required to be undertaken.</w:t>
      </w:r>
    </w:p>
    <w:p w14:paraId="4708F42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4. Staffing Costs</w:t>
      </w:r>
    </w:p>
    <w:p w14:paraId="3D8AD8C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includes costs directly related to staffing, such as Casual Relief Teaching (CRT), local payroll reimbursement or professional development.  Specific examples of support information could include CRT costs to replace someone on sick leave or to top up the CRT budget for the school as specified in the Annual Budget. </w:t>
      </w:r>
    </w:p>
    <w:p w14:paraId="12AC1481" w14:textId="77777777" w:rsidR="0096466B" w:rsidRPr="00DE5882" w:rsidRDefault="0096466B" w:rsidP="0096466B">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DE5882">
        <w:rPr>
          <w:rFonts w:ascii="VIC-Bold" w:eastAsia="Times New Roman" w:hAnsi="VIC-Bold" w:cs="Times New Roman"/>
          <w:color w:val="011A3C"/>
          <w:sz w:val="24"/>
          <w:szCs w:val="24"/>
          <w:lang w:val="en" w:eastAsia="en-AU"/>
        </w:rPr>
        <w:t>5. Curriculum Programs and Student Support</w:t>
      </w:r>
    </w:p>
    <w:p w14:paraId="6E9B5F2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specific curriculum programs schools operate or support being provided to students.</w:t>
      </w:r>
    </w:p>
    <w:p w14:paraId="599DF6D1"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6. Other</w:t>
      </w:r>
    </w:p>
    <w:p w14:paraId="1C128AD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Any other reason for the CCT request.</w:t>
      </w:r>
    </w:p>
    <w:p w14:paraId="0E64341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Requests must be based on the annual amount of the transfer (not monthly or quarterly) except where the transfer relates to a surplus brought forward from the previous year. Approved transfers against a current-year surplus </w:t>
      </w:r>
      <w:r w:rsidRPr="00DE5882">
        <w:rPr>
          <w:rFonts w:ascii="VIC-Regular" w:eastAsia="Times New Roman" w:hAnsi="VIC-Regular" w:cs="Times New Roman"/>
          <w:color w:val="011A3C"/>
          <w:sz w:val="24"/>
          <w:szCs w:val="24"/>
          <w:lang w:val="en" w:eastAsia="en-AU"/>
        </w:rPr>
        <w:lastRenderedPageBreak/>
        <w:t>will be apportioned equally over the remaining quarterly cash grants for the year. Approved transfers relating to a surplus brought forward from the previous year will be paid as a lump sum.</w:t>
      </w:r>
    </w:p>
    <w:p w14:paraId="352E363C" w14:textId="57882C16"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transfers are paid and Cash to Credit Transfers are committed quarterly with schools</w:t>
      </w:r>
      <w:r w:rsidR="0091293B" w:rsidRPr="00DE5882">
        <w:rPr>
          <w:rFonts w:ascii="VIC-Regular" w:eastAsia="Times New Roman" w:hAnsi="VIC-Regular" w:cs="Times New Roman"/>
          <w:color w:val="011A3C"/>
          <w:sz w:val="24"/>
          <w:szCs w:val="24"/>
          <w:lang w:val="en" w:eastAsia="en-AU"/>
        </w:rPr>
        <w:t>’ Quarterly</w:t>
      </w:r>
      <w:r w:rsidRPr="00DE5882">
        <w:rPr>
          <w:rFonts w:ascii="VIC-Regular" w:eastAsia="Times New Roman" w:hAnsi="VIC-Regular" w:cs="Times New Roman"/>
          <w:color w:val="011A3C"/>
          <w:sz w:val="24"/>
          <w:szCs w:val="24"/>
          <w:lang w:val="en" w:eastAsia="en-AU"/>
        </w:rPr>
        <w:t xml:space="preserve"> Cash Grant.  Amounts paid or committed can no longer be adjusted and a new request will need to be submitted.</w:t>
      </w:r>
    </w:p>
    <w:p w14:paraId="48E36F4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Enquiries can be addressed to the SRP Service Desk and information should be provided in writing to:</w:t>
      </w:r>
    </w:p>
    <w:p w14:paraId="58306AE1" w14:textId="77777777" w:rsidR="0096466B" w:rsidRPr="00DE5882" w:rsidRDefault="007E3659" w:rsidP="003243F4">
      <w:pPr>
        <w:numPr>
          <w:ilvl w:val="0"/>
          <w:numId w:val="142"/>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71" w:history="1">
        <w:r w:rsidR="0096466B" w:rsidRPr="00DE5882">
          <w:rPr>
            <w:rFonts w:ascii="VIC-Regular" w:eastAsia="Times New Roman" w:hAnsi="VIC-Regular" w:cs="Times New Roman"/>
            <w:color w:val="011A3C"/>
            <w:sz w:val="24"/>
            <w:szCs w:val="24"/>
            <w:lang w:val="en" w:eastAsia="en-AU"/>
          </w:rPr>
          <w:t>Service Gateway</w:t>
        </w:r>
      </w:hyperlink>
      <w:r w:rsidR="0096466B" w:rsidRPr="00DE5882">
        <w:rPr>
          <w:rFonts w:ascii="VIC-Regular" w:eastAsia="Times New Roman" w:hAnsi="VIC-Regular" w:cs="Times New Roman"/>
          <w:color w:val="011A3C"/>
          <w:sz w:val="24"/>
          <w:szCs w:val="24"/>
          <w:lang w:val="en" w:eastAsia="en-AU"/>
        </w:rPr>
        <w:t>: or</w:t>
      </w:r>
    </w:p>
    <w:p w14:paraId="54811826" w14:textId="77777777" w:rsidR="0096466B" w:rsidRPr="00DE5882" w:rsidRDefault="0096466B" w:rsidP="003243F4">
      <w:pPr>
        <w:numPr>
          <w:ilvl w:val="0"/>
          <w:numId w:val="14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Log a call on: </w:t>
      </w:r>
      <w:hyperlink r:id="rId172" w:history="1">
        <w:r w:rsidRPr="00DE5882">
          <w:rPr>
            <w:rFonts w:ascii="VIC-Regular" w:eastAsia="Times New Roman" w:hAnsi="VIC-Regular" w:cs="Times New Roman"/>
            <w:color w:val="011A3C"/>
            <w:sz w:val="24"/>
            <w:szCs w:val="24"/>
            <w:lang w:val="en" w:eastAsia="en-AU"/>
          </w:rPr>
          <w:t>1800 641 943</w:t>
        </w:r>
      </w:hyperlink>
    </w:p>
    <w:p w14:paraId="77883E8C"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Verification</w:t>
      </w:r>
    </w:p>
    <w:p w14:paraId="40D46B68" w14:textId="1492C1DC" w:rsidR="0096466B"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are only able to enter a CCT amount up to the value of the ‘Available SRP Credit’ or ‘Available SRP Cash’ amounts. If a school wants to make a larger transfer, then a service call will need to be logged through </w:t>
      </w:r>
      <w:hyperlink r:id="rId173" w:history="1">
        <w:r w:rsidRPr="00DE5882">
          <w:rPr>
            <w:rFonts w:ascii="VIC-Regular" w:eastAsia="Times New Roman" w:hAnsi="VIC-Regular" w:cs="Times New Roman"/>
            <w:color w:val="011A3C"/>
            <w:sz w:val="24"/>
            <w:szCs w:val="24"/>
            <w:lang w:val="en" w:eastAsia="en-AU"/>
          </w:rPr>
          <w:t>the service gateway</w:t>
        </w:r>
      </w:hyperlink>
      <w:r w:rsidRPr="00DE5882">
        <w:rPr>
          <w:rFonts w:ascii="VIC-Regular" w:eastAsia="Times New Roman" w:hAnsi="VIC-Regular" w:cs="Times New Roman"/>
          <w:color w:val="011A3C"/>
          <w:sz w:val="24"/>
          <w:szCs w:val="24"/>
          <w:lang w:val="en" w:eastAsia="en-AU"/>
        </w:rPr>
        <w:t>.</w:t>
      </w:r>
    </w:p>
    <w:p w14:paraId="5D23CB3E" w14:textId="77777777" w:rsidR="00F85311" w:rsidRPr="00DE5882" w:rsidRDefault="00F85311"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0295A0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Offline payments</w:t>
      </w:r>
    </w:p>
    <w:p w14:paraId="3D6EE7C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Offline payments can occur at any time throughout the year. Common reasons for an offline payment to be made are:</w:t>
      </w:r>
    </w:p>
    <w:p w14:paraId="62BE8A18" w14:textId="77777777" w:rsidR="0096466B" w:rsidRPr="00DE5882" w:rsidRDefault="0096466B" w:rsidP="003243F4">
      <w:pPr>
        <w:numPr>
          <w:ilvl w:val="0"/>
          <w:numId w:val="1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 against previous year SRP surplus</w:t>
      </w:r>
    </w:p>
    <w:p w14:paraId="42C49B87" w14:textId="77777777" w:rsidR="0096466B" w:rsidRPr="00DE5882" w:rsidRDefault="0096466B" w:rsidP="003243F4">
      <w:pPr>
        <w:numPr>
          <w:ilvl w:val="0"/>
          <w:numId w:val="1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leave reimbursement payments</w:t>
      </w:r>
    </w:p>
    <w:p w14:paraId="0B8F579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Offline payments can also be triggered by cash flow support payments or other cash grants. </w:t>
      </w:r>
    </w:p>
    <w:p w14:paraId="15203BF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description for offline payments will take the form:</w:t>
      </w:r>
    </w:p>
    <w:p w14:paraId="10A9FD41" w14:textId="77777777" w:rsidR="0096466B" w:rsidRPr="00DE5882" w:rsidRDefault="0096466B" w:rsidP="003243F4">
      <w:pPr>
        <w:numPr>
          <w:ilvl w:val="0"/>
          <w:numId w:val="1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OFFLINE PAYMENT - &lt;program&gt; - &lt;description&gt; - &lt;GST Status&gt; – CASES21 Finance General Ledger &lt;GL Code&gt;: Sub Program &lt;Sub Program Code&gt;</w:t>
      </w:r>
    </w:p>
    <w:p w14:paraId="64655DC2" w14:textId="77777777" w:rsidR="0096466B" w:rsidRPr="003243F4" w:rsidRDefault="0096466B" w:rsidP="00A9180D">
      <w:pPr>
        <w:keepNext/>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Definitions</w:t>
      </w:r>
    </w:p>
    <w:p w14:paraId="1FCACFB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sample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792"/>
        <w:gridCol w:w="7234"/>
      </w:tblGrid>
      <w:tr w:rsidR="0096466B" w:rsidRPr="00DE5882" w14:paraId="197B558F" w14:textId="77777777" w:rsidTr="00ED4312">
        <w:trPr>
          <w:tblHeader/>
        </w:trPr>
        <w:tc>
          <w:tcPr>
            <w:tcW w:w="0" w:type="auto"/>
            <w:hideMark/>
          </w:tcPr>
          <w:p w14:paraId="428E8893"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Placeholder</w:t>
            </w:r>
          </w:p>
        </w:tc>
        <w:tc>
          <w:tcPr>
            <w:tcW w:w="0" w:type="auto"/>
            <w:hideMark/>
          </w:tcPr>
          <w:p w14:paraId="711A4FFB"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Definition</w:t>
            </w:r>
          </w:p>
        </w:tc>
      </w:tr>
      <w:tr w:rsidR="0096466B" w:rsidRPr="00DE5882" w14:paraId="758DC386" w14:textId="77777777" w:rsidTr="00ED4312">
        <w:tc>
          <w:tcPr>
            <w:tcW w:w="0" w:type="auto"/>
            <w:hideMark/>
          </w:tcPr>
          <w:p w14:paraId="2B8E0EB7"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&lt;batch number&gt;</w:t>
            </w:r>
          </w:p>
        </w:tc>
        <w:tc>
          <w:tcPr>
            <w:tcW w:w="0" w:type="auto"/>
            <w:hideMark/>
          </w:tcPr>
          <w:p w14:paraId="03D74C10" w14:textId="6D72C89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A </w:t>
            </w:r>
            <w:r w:rsidR="00EE01F0" w:rsidRPr="000B1FF1">
              <w:rPr>
                <w:rFonts w:ascii="VIC-Regular" w:eastAsia="Times New Roman" w:hAnsi="VIC-Regular" w:cs="Times New Roman"/>
                <w:color w:val="323E4F" w:themeColor="text2" w:themeShade="BF"/>
                <w:sz w:val="24"/>
                <w:szCs w:val="24"/>
                <w:lang w:eastAsia="en-AU"/>
              </w:rPr>
              <w:t>6-digit</w:t>
            </w:r>
            <w:r w:rsidRPr="000B1FF1">
              <w:rPr>
                <w:rFonts w:ascii="VIC-Regular" w:eastAsia="Times New Roman" w:hAnsi="VIC-Regular" w:cs="Times New Roman"/>
                <w:color w:val="323E4F" w:themeColor="text2" w:themeShade="BF"/>
                <w:sz w:val="24"/>
                <w:szCs w:val="24"/>
                <w:lang w:eastAsia="en-AU"/>
              </w:rPr>
              <w:t xml:space="preserve"> number, for example: 000999. This ‘identifier number’ can be used to look up a payment within the SRP </w:t>
            </w:r>
            <w:r w:rsidR="00EE01F0" w:rsidRPr="000B1FF1">
              <w:rPr>
                <w:rFonts w:ascii="VIC-Regular" w:eastAsia="Times New Roman" w:hAnsi="VIC-Regular" w:cs="Times New Roman"/>
                <w:color w:val="323E4F" w:themeColor="text2" w:themeShade="BF"/>
                <w:sz w:val="24"/>
                <w:szCs w:val="24"/>
                <w:lang w:eastAsia="en-AU"/>
              </w:rPr>
              <w:t>reports or</w:t>
            </w:r>
            <w:r w:rsidRPr="000B1FF1">
              <w:rPr>
                <w:rFonts w:ascii="VIC-Regular" w:eastAsia="Times New Roman" w:hAnsi="VIC-Regular" w:cs="Times New Roman"/>
                <w:color w:val="323E4F" w:themeColor="text2" w:themeShade="BF"/>
                <w:sz w:val="24"/>
                <w:szCs w:val="24"/>
                <w:lang w:eastAsia="en-AU"/>
              </w:rPr>
              <w:t xml:space="preserve"> can be quoted to SRP support staff when you are making an enquiry regarding your payment.</w:t>
            </w:r>
          </w:p>
        </w:tc>
      </w:tr>
      <w:tr w:rsidR="0096466B" w:rsidRPr="00DE5882" w14:paraId="2E351C93" w14:textId="77777777" w:rsidTr="00ED4312">
        <w:tc>
          <w:tcPr>
            <w:tcW w:w="0" w:type="auto"/>
            <w:hideMark/>
          </w:tcPr>
          <w:p w14:paraId="5A92D0FB"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&lt;Program&gt;</w:t>
            </w:r>
          </w:p>
        </w:tc>
        <w:tc>
          <w:tcPr>
            <w:tcW w:w="0" w:type="auto"/>
            <w:hideMark/>
          </w:tcPr>
          <w:p w14:paraId="4D681D33"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For payments against the SRP this will not appear. If a payment is made against a strategic program, the strategic program name will be displayed. If a payment is made from another source, such as a cash flow support payment, it will show as 'Other Cash Grants'.</w:t>
            </w:r>
          </w:p>
        </w:tc>
      </w:tr>
      <w:tr w:rsidR="0096466B" w:rsidRPr="00DE5882" w14:paraId="4ACE79D2" w14:textId="77777777" w:rsidTr="00ED4312">
        <w:tc>
          <w:tcPr>
            <w:tcW w:w="0" w:type="auto"/>
            <w:hideMark/>
          </w:tcPr>
          <w:p w14:paraId="4695EE39"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&lt;Description&gt;</w:t>
            </w:r>
          </w:p>
        </w:tc>
        <w:tc>
          <w:tcPr>
            <w:tcW w:w="0" w:type="auto"/>
            <w:hideMark/>
          </w:tcPr>
          <w:p w14:paraId="00E0CABE"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A more detailed description of the payment, this will not appear for all payments, only for those where more information is appropriate, such as a Credit to Cash Transfer payment.</w:t>
            </w:r>
          </w:p>
        </w:tc>
      </w:tr>
      <w:tr w:rsidR="0096466B" w:rsidRPr="00DE5882" w14:paraId="127B5881" w14:textId="77777777" w:rsidTr="00ED4312">
        <w:tc>
          <w:tcPr>
            <w:tcW w:w="0" w:type="auto"/>
            <w:hideMark/>
          </w:tcPr>
          <w:p w14:paraId="6E2439DD"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&lt;GST Status&gt;</w:t>
            </w:r>
          </w:p>
        </w:tc>
        <w:tc>
          <w:tcPr>
            <w:tcW w:w="0" w:type="auto"/>
            <w:hideMark/>
          </w:tcPr>
          <w:p w14:paraId="7ECCD103" w14:textId="22B99823"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 xml:space="preserve">Indicates if the payment is subject to </w:t>
            </w:r>
            <w:r w:rsidR="00EE01F0" w:rsidRPr="000B1FF1">
              <w:rPr>
                <w:rFonts w:ascii="VIC-Regular" w:eastAsia="Times New Roman" w:hAnsi="VIC-Regular" w:cs="Times New Roman"/>
                <w:color w:val="323E4F" w:themeColor="text2" w:themeShade="BF"/>
                <w:sz w:val="24"/>
                <w:szCs w:val="24"/>
                <w:lang w:eastAsia="en-AU"/>
              </w:rPr>
              <w:t>GST and</w:t>
            </w:r>
            <w:r w:rsidRPr="000B1FF1">
              <w:rPr>
                <w:rFonts w:ascii="VIC-Regular" w:eastAsia="Times New Roman" w:hAnsi="VIC-Regular" w:cs="Times New Roman"/>
                <w:color w:val="323E4F" w:themeColor="text2" w:themeShade="BF"/>
                <w:sz w:val="24"/>
                <w:szCs w:val="24"/>
                <w:lang w:eastAsia="en-AU"/>
              </w:rPr>
              <w:t xml:space="preserve"> provides the appropriate code for use in CASES21 Finance. </w:t>
            </w:r>
            <w:r w:rsidR="00EE01F0" w:rsidRPr="000B1FF1">
              <w:rPr>
                <w:rFonts w:ascii="VIC-Regular" w:eastAsia="Times New Roman" w:hAnsi="VIC-Regular" w:cs="Times New Roman"/>
                <w:color w:val="323E4F" w:themeColor="text2" w:themeShade="BF"/>
                <w:sz w:val="24"/>
                <w:szCs w:val="24"/>
                <w:lang w:eastAsia="en-AU"/>
              </w:rPr>
              <w:t>Most</w:t>
            </w:r>
            <w:r w:rsidRPr="000B1FF1">
              <w:rPr>
                <w:rFonts w:ascii="VIC-Regular" w:eastAsia="Times New Roman" w:hAnsi="VIC-Regular" w:cs="Times New Roman"/>
                <w:color w:val="323E4F" w:themeColor="text2" w:themeShade="BF"/>
                <w:sz w:val="24"/>
                <w:szCs w:val="24"/>
                <w:lang w:eastAsia="en-AU"/>
              </w:rPr>
              <w:t xml:space="preserve"> payments occurring through the SRP Payment System will not be subject to GST and therefore this will be set to 'Not Subject to GST (Code NS6).</w:t>
            </w:r>
          </w:p>
        </w:tc>
      </w:tr>
      <w:tr w:rsidR="0096466B" w:rsidRPr="00DE5882" w14:paraId="0EE789DF" w14:textId="77777777" w:rsidTr="00ED4312">
        <w:tc>
          <w:tcPr>
            <w:tcW w:w="0" w:type="auto"/>
            <w:hideMark/>
          </w:tcPr>
          <w:p w14:paraId="20FEFC72"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&lt;GL Code&gt;</w:t>
            </w:r>
          </w:p>
        </w:tc>
        <w:tc>
          <w:tcPr>
            <w:tcW w:w="0" w:type="auto"/>
            <w:hideMark/>
          </w:tcPr>
          <w:p w14:paraId="71276200"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code against which to record the payment.</w:t>
            </w:r>
          </w:p>
        </w:tc>
      </w:tr>
      <w:tr w:rsidR="0096466B" w:rsidRPr="00DE5882" w14:paraId="3951FC4E" w14:textId="77777777" w:rsidTr="00ED4312">
        <w:tc>
          <w:tcPr>
            <w:tcW w:w="0" w:type="auto"/>
            <w:hideMark/>
          </w:tcPr>
          <w:p w14:paraId="63A0EAD4" w14:textId="77777777" w:rsidR="0096466B" w:rsidRPr="000B1FF1" w:rsidRDefault="0096466B" w:rsidP="00ED4312">
            <w:pPr>
              <w:spacing w:after="0" w:line="240" w:lineRule="atLeast"/>
              <w:rPr>
                <w:rFonts w:ascii="VIC-Bold" w:eastAsia="Times New Roman" w:hAnsi="VIC-Bold" w:cs="Times New Roman"/>
                <w:color w:val="323E4F" w:themeColor="text2" w:themeShade="BF"/>
                <w:sz w:val="24"/>
                <w:szCs w:val="24"/>
                <w:lang w:eastAsia="en-AU"/>
              </w:rPr>
            </w:pPr>
            <w:r w:rsidRPr="000B1FF1">
              <w:rPr>
                <w:rFonts w:ascii="VIC-Bold" w:eastAsia="Times New Roman" w:hAnsi="VIC-Bold" w:cs="Times New Roman"/>
                <w:color w:val="323E4F" w:themeColor="text2" w:themeShade="BF"/>
                <w:sz w:val="24"/>
                <w:szCs w:val="24"/>
                <w:lang w:eastAsia="en-AU"/>
              </w:rPr>
              <w:t>&lt;Sub Program Code&gt;</w:t>
            </w:r>
          </w:p>
        </w:tc>
        <w:tc>
          <w:tcPr>
            <w:tcW w:w="0" w:type="auto"/>
            <w:hideMark/>
          </w:tcPr>
          <w:p w14:paraId="2F5DB769" w14:textId="77777777" w:rsidR="0096466B" w:rsidRPr="000B1FF1" w:rsidRDefault="0096466B" w:rsidP="00ED4312">
            <w:pPr>
              <w:spacing w:after="0" w:line="360" w:lineRule="atLeast"/>
              <w:rPr>
                <w:rFonts w:ascii="VIC-Regular" w:eastAsia="Times New Roman" w:hAnsi="VIC-Regular" w:cs="Times New Roman"/>
                <w:color w:val="323E4F" w:themeColor="text2" w:themeShade="BF"/>
                <w:sz w:val="24"/>
                <w:szCs w:val="24"/>
                <w:lang w:eastAsia="en-AU"/>
              </w:rPr>
            </w:pPr>
            <w:r w:rsidRPr="000B1FF1">
              <w:rPr>
                <w:rFonts w:ascii="VIC-Regular" w:eastAsia="Times New Roman" w:hAnsi="VIC-Regular" w:cs="Times New Roman"/>
                <w:color w:val="323E4F" w:themeColor="text2" w:themeShade="BF"/>
                <w:sz w:val="24"/>
                <w:szCs w:val="24"/>
                <w:lang w:eastAsia="en-AU"/>
              </w:rPr>
              <w:t>The CASES21 Finance General Ledger Sub-Program code against which to record the payment. (May not appear for all payments).</w:t>
            </w:r>
          </w:p>
        </w:tc>
      </w:tr>
    </w:tbl>
    <w:p w14:paraId="194908EA"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Example:</w:t>
      </w:r>
    </w:p>
    <w:p w14:paraId="21E7C4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 would relate to a school that is receiving a basic payment against the SRP relating to a budget adjustment occurring after the Term 4 QCG.</w:t>
      </w:r>
    </w:p>
    <w:p w14:paraId="5379F88F" w14:textId="77777777" w:rsidR="0096466B" w:rsidRPr="00DE5882" w:rsidRDefault="0096466B" w:rsidP="003243F4">
      <w:pPr>
        <w:numPr>
          <w:ilvl w:val="0"/>
          <w:numId w:val="14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OFFLINE PAYMENT - Not Subject to GST (Code NS6) – CASES21 Finance General Ledger 70001</w:t>
      </w:r>
    </w:p>
    <w:p w14:paraId="09415E98"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lastRenderedPageBreak/>
        <w:t>Examples:</w:t>
      </w:r>
    </w:p>
    <w:p w14:paraId="2BD69C2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examples would relate to a school that is receiving payment for the SRP, two strategic programs and one other payment. This would represent a complex example of what would be seen on the remittance advice:</w:t>
      </w:r>
    </w:p>
    <w:p w14:paraId="63304639" w14:textId="77777777" w:rsidR="0096466B" w:rsidRPr="00DE5882" w:rsidRDefault="0096466B" w:rsidP="003243F4">
      <w:pPr>
        <w:numPr>
          <w:ilvl w:val="0"/>
          <w:numId w:val="1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TERM 2 QUARTERLY CASH GRANT - Not Subject to GST (Code NS6) – CASES21 Finance General Ledger 70001</w:t>
      </w:r>
    </w:p>
    <w:p w14:paraId="4E02E74D" w14:textId="77777777" w:rsidR="0096466B" w:rsidRPr="00DE5882" w:rsidRDefault="0096466B" w:rsidP="003243F4">
      <w:pPr>
        <w:numPr>
          <w:ilvl w:val="0"/>
          <w:numId w:val="1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TERM 2 QUARTERLY CASH GRANT – Other Cash Grants – Repayable Cash Flow Support - Not Subject to GST (Code NS6)– CASES21 Finance General Ledger 70001</w:t>
      </w:r>
    </w:p>
    <w:p w14:paraId="607052B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 would relate to a school that is receiving a payment against the SRP relating to a Credit to Cash Transfer against previous year surplus.</w:t>
      </w:r>
    </w:p>
    <w:p w14:paraId="5021CC82" w14:textId="77777777" w:rsidR="0096466B" w:rsidRPr="00DE5882" w:rsidRDefault="0096466B" w:rsidP="003243F4">
      <w:pPr>
        <w:numPr>
          <w:ilvl w:val="0"/>
          <w:numId w:val="14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OFFLINE PAYMENT – Credit to Cash Transfer – Previous Year - Not Subject to GST (Code NS6) – CASES21 Finance General Ledger 70001: Sub Program 9611</w:t>
      </w:r>
    </w:p>
    <w:p w14:paraId="3BAF8080"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Cash payment statement</w:t>
      </w:r>
    </w:p>
    <w:p w14:paraId="56E1903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‘cash payment statement’ is produced for every payment made via the SRP Payment System. It is available to schools on the reports page of the </w:t>
      </w:r>
      <w:hyperlink r:id="rId174"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This report provides a detailed breakdown of every payment, including the budget lines from which the payment was made, and any deductions held against the payment.</w:t>
      </w:r>
    </w:p>
    <w:p w14:paraId="266615B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End of year cash balance</w:t>
      </w:r>
    </w:p>
    <w:p w14:paraId="05B64FD1" w14:textId="73E40DC0" w:rsidR="003E6B76"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Due to budget changes or other adjustments that occur after the Term 4 QCG, there will often be an outstanding cash balance for a school at the end of the calendar year. A positive cash balance will be paid through the following year’s QCG. A negative cash balance will be deducted from the following year’s QCG.</w:t>
      </w:r>
    </w:p>
    <w:p w14:paraId="0EF068ED" w14:textId="77777777" w:rsidR="006E3D8D" w:rsidRPr="00DE5882" w:rsidRDefault="006E3D8D"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91AC298"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CASES21 Finance</w:t>
      </w:r>
    </w:p>
    <w:p w14:paraId="605A82B9" w14:textId="1C82CFEB"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All cash payments must be recorded appropriately in CASES21 Finance using the general ledger and sub-program codes provided in the EFT remittance advice descriptions.</w:t>
      </w:r>
    </w:p>
    <w:p w14:paraId="0B55D8F7" w14:textId="77777777" w:rsidR="0096466B" w:rsidRDefault="0096466B" w:rsidP="0096466B">
      <w:r>
        <w:br w:type="page"/>
      </w:r>
    </w:p>
    <w:p w14:paraId="77712277" w14:textId="60569D21" w:rsidR="0096466B" w:rsidRPr="00DE5882" w:rsidRDefault="0096466B" w:rsidP="00842992">
      <w:pPr>
        <w:pStyle w:val="Heading2"/>
      </w:pPr>
      <w:bookmarkStart w:id="95" w:name="_Toc52796231"/>
      <w:r w:rsidRPr="00DE5882">
        <w:lastRenderedPageBreak/>
        <w:t>Deficit management and workforce bridging</w:t>
      </w:r>
      <w:bookmarkEnd w:id="95"/>
    </w:p>
    <w:p w14:paraId="4A442BE9"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Background</w:t>
      </w:r>
    </w:p>
    <w:p w14:paraId="34556D1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Devolved budgets and workforce management responsibility have operated in Victorian schools since 1996. All schools are expected to have planning strategies in place to manage their workforce requirements within available funds. </w:t>
      </w:r>
    </w:p>
    <w:p w14:paraId="4C464D2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SRP allocates the available state government funding to all schools in a transparent and equitable manner based on student needs. The imperative for all principals is to manage their school within available resources. Deficit management and workforce planning support may be available to schools in circumstances where the school is not able to meet commitments within their allocated budget. Support is provided in these circumstances through a combination of:</w:t>
      </w:r>
    </w:p>
    <w:p w14:paraId="400B273D" w14:textId="77777777" w:rsidR="0096466B" w:rsidRPr="00DE5882" w:rsidRDefault="0096466B" w:rsidP="003243F4">
      <w:pPr>
        <w:numPr>
          <w:ilvl w:val="0"/>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Management support via workforce planning through </w:t>
      </w:r>
    </w:p>
    <w:p w14:paraId="06ED26FB" w14:textId="77777777" w:rsidR="0096466B" w:rsidRPr="00DE5882" w:rsidRDefault="0096466B" w:rsidP="003243F4">
      <w:pPr>
        <w:numPr>
          <w:ilvl w:val="1"/>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Strategic Financial Management Advisors</w:t>
      </w:r>
    </w:p>
    <w:p w14:paraId="52FD1A2A" w14:textId="77777777" w:rsidR="0096466B" w:rsidRPr="00DE5882" w:rsidRDefault="0096466B" w:rsidP="003243F4">
      <w:pPr>
        <w:numPr>
          <w:ilvl w:val="1"/>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Finance Liaison Officers</w:t>
      </w:r>
    </w:p>
    <w:p w14:paraId="52E192D3" w14:textId="77777777" w:rsidR="0096466B" w:rsidRPr="00DE5882" w:rsidRDefault="0096466B" w:rsidP="003243F4">
      <w:pPr>
        <w:numPr>
          <w:ilvl w:val="1"/>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Workforce Bridging Officers</w:t>
      </w:r>
    </w:p>
    <w:p w14:paraId="32CA9320" w14:textId="77777777" w:rsidR="0096466B" w:rsidRPr="00DE5882" w:rsidRDefault="0096466B" w:rsidP="003243F4">
      <w:pPr>
        <w:numPr>
          <w:ilvl w:val="0"/>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Financial support via Workforce Bridging — if the shortfall is not linked to local management decisions</w:t>
      </w:r>
    </w:p>
    <w:p w14:paraId="207B10B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will assist schools to make the transition from a deficit to a ‘within budget’ situation.</w:t>
      </w:r>
    </w:p>
    <w:p w14:paraId="2C3DDB88"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Underlying principles</w:t>
      </w:r>
    </w:p>
    <w:p w14:paraId="5C1BC51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SRP is allocated to all schools based on principles of equity, consistency and transparency. The SRP is adjusted periodically to reflect salary and other cost movements, consistent with the state budget and the prevailing Victorian Government Schools Agreement.</w:t>
      </w:r>
    </w:p>
    <w:p w14:paraId="30644D7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operate in a devolved environment, where workforce planning and SRP management is the responsibility of the principal and school council. Principals are therefore expected to have a sustainable workforce management plan for their school that is capable of being funded within the SRP. Schools participating in reorganisations are also expected to undertake workforce planning within their overall budget allocation while giving due </w:t>
      </w:r>
      <w:r w:rsidRPr="00DE5882">
        <w:rPr>
          <w:rFonts w:ascii="VIC-Regular" w:eastAsia="Times New Roman" w:hAnsi="VIC-Regular" w:cs="Times New Roman"/>
          <w:color w:val="011A3C"/>
          <w:sz w:val="24"/>
          <w:szCs w:val="24"/>
          <w:lang w:val="en" w:eastAsia="en-AU"/>
        </w:rPr>
        <w:lastRenderedPageBreak/>
        <w:t>consideration to clauses contained in the </w:t>
      </w:r>
      <w:hyperlink r:id="rId175" w:history="1">
        <w:r w:rsidRPr="00DE5882">
          <w:rPr>
            <w:rFonts w:ascii="VIC-Regular" w:eastAsia="Times New Roman" w:hAnsi="VIC-Regular" w:cs="Times New Roman"/>
            <w:color w:val="011A3C"/>
            <w:sz w:val="24"/>
            <w:szCs w:val="24"/>
            <w:lang w:val="en" w:eastAsia="en-AU"/>
          </w:rPr>
          <w:t>Human Resources School Merger or Closure — Staffing Guide.</w:t>
        </w:r>
      </w:hyperlink>
    </w:p>
    <w:p w14:paraId="12FD50E3" w14:textId="450E3368"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 workforce plans must include contingency planning to deal with changing circumstances. This includes accommodating potential budget changes linked to such factors as enrolment </w:t>
      </w:r>
      <w:r w:rsidR="00151158" w:rsidRPr="00DE5882">
        <w:rPr>
          <w:rFonts w:ascii="VIC-Regular" w:eastAsia="Times New Roman" w:hAnsi="VIC-Regular" w:cs="Times New Roman"/>
          <w:color w:val="011A3C"/>
          <w:sz w:val="24"/>
          <w:szCs w:val="24"/>
          <w:lang w:val="en" w:eastAsia="en-AU"/>
        </w:rPr>
        <w:t>variations and</w:t>
      </w:r>
      <w:r w:rsidRPr="00DE5882">
        <w:rPr>
          <w:rFonts w:ascii="VIC-Regular" w:eastAsia="Times New Roman" w:hAnsi="VIC-Regular" w:cs="Times New Roman"/>
          <w:color w:val="011A3C"/>
          <w:sz w:val="24"/>
          <w:szCs w:val="24"/>
          <w:lang w:val="en" w:eastAsia="en-AU"/>
        </w:rPr>
        <w:t xml:space="preserve"> changing workforce commitments including staff salary increments and leave returnees.</w:t>
      </w:r>
    </w:p>
    <w:p w14:paraId="1B14C8D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Regional and central office DET staff are available to assist schools with the workforce planning process through the provision of management advice and support. The SRP Planner (accessible from the </w:t>
      </w:r>
      <w:hyperlink r:id="rId176"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provides a useful modelling tool for schools for this purpose. If credit deficits arise, whether or not caused by local management decisions, it is incumbent on the school to take action to remove the deficit, within appropriate DET policy.</w:t>
      </w:r>
    </w:p>
    <w:p w14:paraId="0769B8AD"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Procedures for assistance</w:t>
      </w:r>
    </w:p>
    <w:p w14:paraId="7DDE6CC8"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Management advice and support</w:t>
      </w:r>
    </w:p>
    <w:p w14:paraId="59002DBD" w14:textId="4CD6FB91"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Since the first imperative is to manage the school‘s SRP to avoid a deficit, principals should develop a workforce plan that is capable of being funded within the SRP. Should this process identify that the school has a need for possible assistance, the principal should contact the Schools Financial Management Support </w:t>
      </w:r>
      <w:r w:rsidR="00434BA9">
        <w:rPr>
          <w:rFonts w:ascii="VIC-Regular" w:eastAsia="Times New Roman" w:hAnsi="VIC-Regular" w:cs="Times New Roman"/>
          <w:color w:val="011A3C"/>
          <w:sz w:val="24"/>
          <w:szCs w:val="24"/>
          <w:lang w:val="en" w:eastAsia="en-AU"/>
        </w:rPr>
        <w:t xml:space="preserve">Unit </w:t>
      </w:r>
      <w:r w:rsidRPr="00DE5882">
        <w:rPr>
          <w:rFonts w:ascii="VIC-Regular" w:eastAsia="Times New Roman" w:hAnsi="VIC-Regular" w:cs="Times New Roman"/>
          <w:color w:val="011A3C"/>
          <w:sz w:val="24"/>
          <w:szCs w:val="24"/>
          <w:lang w:val="en" w:eastAsia="en-AU"/>
        </w:rPr>
        <w:t>(SFMS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in central office or their Senior Education Improvement Leader (SEIL). The SEIL may refer to SFMS for further support.</w:t>
      </w:r>
    </w:p>
    <w:p w14:paraId="76E799E0" w14:textId="6E7DBAE5"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Discussions regarding Workforce </w:t>
      </w:r>
      <w:r w:rsidR="00151158" w:rsidRPr="00DE5882">
        <w:rPr>
          <w:rFonts w:ascii="VIC-Regular" w:eastAsia="Times New Roman" w:hAnsi="VIC-Regular" w:cs="Times New Roman"/>
          <w:color w:val="011A3C"/>
          <w:sz w:val="24"/>
          <w:szCs w:val="24"/>
          <w:lang w:val="en" w:eastAsia="en-AU"/>
        </w:rPr>
        <w:t>Bridging will</w:t>
      </w:r>
      <w:r w:rsidRPr="00DE5882">
        <w:rPr>
          <w:rFonts w:ascii="VIC-Regular" w:eastAsia="Times New Roman" w:hAnsi="VIC-Regular" w:cs="Times New Roman"/>
          <w:color w:val="011A3C"/>
          <w:sz w:val="24"/>
          <w:szCs w:val="24"/>
          <w:lang w:val="en" w:eastAsia="en-AU"/>
        </w:rPr>
        <w:t xml:space="preserve"> encompass the overall financial position of the school, including salary mischarges, credit-cash transfers and accumulated surpluses. This analysis will involve assessment of the school’s capacity to manage within its budget.</w:t>
      </w:r>
    </w:p>
    <w:p w14:paraId="2E072DFF"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Support</w:t>
      </w:r>
    </w:p>
    <w:p w14:paraId="647C60C8" w14:textId="57C43790"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If potential Workforce Bridging support is identified, 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xml:space="preserve"> will assign a Workforce Bridging Officer to work with the school and prepare a report for the Workforce Bridging Panel. The Workforce Bridging Officer and school principal will develop a Workforce Bridging report based on the school’s </w:t>
      </w:r>
      <w:r w:rsidRPr="00DE5882">
        <w:rPr>
          <w:rFonts w:ascii="VIC-Regular" w:eastAsia="Times New Roman" w:hAnsi="VIC-Regular" w:cs="Times New Roman"/>
          <w:color w:val="011A3C"/>
          <w:sz w:val="24"/>
          <w:szCs w:val="24"/>
          <w:lang w:val="en" w:eastAsia="en-AU"/>
        </w:rPr>
        <w:lastRenderedPageBreak/>
        <w:t>Workforce Plan that will include strategies to return the school to a sustainable budget position. Factors considered in determining whether Workforce Bridging financial assistance is provided include:</w:t>
      </w:r>
    </w:p>
    <w:p w14:paraId="1299CDFF" w14:textId="77777777" w:rsidR="0096466B" w:rsidRPr="00DE5882" w:rsidRDefault="0096466B" w:rsidP="003243F4">
      <w:pPr>
        <w:numPr>
          <w:ilvl w:val="0"/>
          <w:numId w:val="14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budget shortfall is not the result of local management decisions</w:t>
      </w:r>
    </w:p>
    <w:p w14:paraId="31807459" w14:textId="77777777" w:rsidR="0096466B" w:rsidRPr="00DE5882" w:rsidRDefault="0096466B" w:rsidP="003243F4">
      <w:pPr>
        <w:numPr>
          <w:ilvl w:val="0"/>
          <w:numId w:val="14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school has a viable deficit management strategy</w:t>
      </w:r>
    </w:p>
    <w:p w14:paraId="27FC4377" w14:textId="1D946316" w:rsidR="0096466B" w:rsidRPr="00DE5882" w:rsidRDefault="0096466B" w:rsidP="003243F4">
      <w:pPr>
        <w:numPr>
          <w:ilvl w:val="0"/>
          <w:numId w:val="14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school undertakes to consult with the 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xml:space="preserve"> if it anticipates moving outside of its deficit management strategy</w:t>
      </w:r>
    </w:p>
    <w:p w14:paraId="13B4EA8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On completion of discussions, the Workforce Bridging Officer will:</w:t>
      </w:r>
    </w:p>
    <w:p w14:paraId="1E94E1CE" w14:textId="59C5F229" w:rsidR="0096466B" w:rsidRPr="00DE5882" w:rsidRDefault="0096466B" w:rsidP="003243F4">
      <w:pPr>
        <w:numPr>
          <w:ilvl w:val="0"/>
          <w:numId w:val="1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provide the principal with a copy of the Workforce Bridging Report</w:t>
      </w:r>
    </w:p>
    <w:p w14:paraId="50A7633E" w14:textId="000E644D" w:rsidR="0096466B" w:rsidRPr="00A9180D" w:rsidRDefault="0096466B" w:rsidP="00A9180D">
      <w:pPr>
        <w:numPr>
          <w:ilvl w:val="0"/>
          <w:numId w:val="1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submit the Workforce Bridging Report to SFMS</w:t>
      </w:r>
      <w:r w:rsidR="00434BA9">
        <w:rPr>
          <w:rFonts w:ascii="VIC-Regular" w:eastAsia="Times New Roman" w:hAnsi="VIC-Regular" w:cs="Times New Roman"/>
          <w:color w:val="011A3C"/>
          <w:sz w:val="24"/>
          <w:szCs w:val="24"/>
          <w:lang w:val="en" w:eastAsia="en-AU"/>
        </w:rPr>
        <w:t>U</w:t>
      </w:r>
      <w:r w:rsidRPr="00DE5882">
        <w:rPr>
          <w:rFonts w:ascii="VIC-Regular" w:eastAsia="Times New Roman" w:hAnsi="VIC-Regular" w:cs="Times New Roman"/>
          <w:color w:val="011A3C"/>
          <w:sz w:val="24"/>
          <w:szCs w:val="24"/>
          <w:lang w:val="en" w:eastAsia="en-AU"/>
        </w:rPr>
        <w:t xml:space="preserve"> who will present the report to the Workforce Bridging Panel for assessment and possible recommendation to the </w:t>
      </w:r>
      <w:r w:rsidR="00434BA9" w:rsidRPr="00A9180D">
        <w:rPr>
          <w:rFonts w:ascii="VIC-Regular" w:eastAsia="Times New Roman" w:hAnsi="VIC-Regular" w:cs="Times New Roman"/>
          <w:color w:val="011A3C"/>
          <w:sz w:val="24"/>
          <w:szCs w:val="24"/>
          <w:lang w:val="en" w:eastAsia="en-AU"/>
        </w:rPr>
        <w:t>Deputy Secretary, Financial Policy and Information Services.</w:t>
      </w:r>
    </w:p>
    <w:p w14:paraId="40971F5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Panel will meet as required and consists of:</w:t>
      </w:r>
    </w:p>
    <w:p w14:paraId="0099E99B" w14:textId="77777777" w:rsidR="0096466B" w:rsidRPr="00DE5882" w:rsidRDefault="0096466B" w:rsidP="003243F4">
      <w:pPr>
        <w:numPr>
          <w:ilvl w:val="0"/>
          <w:numId w:val="1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Chairperson — Director, Schools Finance and Resources Branch</w:t>
      </w:r>
    </w:p>
    <w:p w14:paraId="2BA39E1A" w14:textId="77777777" w:rsidR="0096466B" w:rsidRPr="00DE5882" w:rsidRDefault="0096466B" w:rsidP="003243F4">
      <w:pPr>
        <w:numPr>
          <w:ilvl w:val="0"/>
          <w:numId w:val="1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representative of People Division</w:t>
      </w:r>
    </w:p>
    <w:p w14:paraId="3EF5072A" w14:textId="7530B3EB" w:rsidR="0096466B" w:rsidRDefault="0096466B" w:rsidP="003243F4">
      <w:pPr>
        <w:numPr>
          <w:ilvl w:val="0"/>
          <w:numId w:val="1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two </w:t>
      </w:r>
      <w:r w:rsidR="00151158" w:rsidRPr="00DE5882">
        <w:rPr>
          <w:rFonts w:ascii="VIC-Regular" w:eastAsia="Times New Roman" w:hAnsi="VIC-Regular" w:cs="Times New Roman"/>
          <w:color w:val="011A3C"/>
          <w:sz w:val="24"/>
          <w:szCs w:val="24"/>
          <w:lang w:val="en" w:eastAsia="en-AU"/>
        </w:rPr>
        <w:t>practicing</w:t>
      </w:r>
      <w:r w:rsidRPr="00DE5882">
        <w:rPr>
          <w:rFonts w:ascii="VIC-Regular" w:eastAsia="Times New Roman" w:hAnsi="VIC-Regular" w:cs="Times New Roman"/>
          <w:color w:val="011A3C"/>
          <w:sz w:val="24"/>
          <w:szCs w:val="24"/>
          <w:lang w:val="en" w:eastAsia="en-AU"/>
        </w:rPr>
        <w:t xml:space="preserve"> principals — one secondary and one primary</w:t>
      </w:r>
    </w:p>
    <w:p w14:paraId="369D71D3" w14:textId="77777777" w:rsidR="00434BA9" w:rsidRPr="00434BA9" w:rsidRDefault="00434BA9" w:rsidP="00434BA9">
      <w:pPr>
        <w:pStyle w:val="ListParagraph"/>
        <w:numPr>
          <w:ilvl w:val="0"/>
          <w:numId w:val="151"/>
        </w:numPr>
        <w:rPr>
          <w:rFonts w:ascii="VIC-Regular" w:eastAsia="Times New Roman" w:hAnsi="VIC-Regular" w:cs="Times New Roman"/>
          <w:color w:val="011A3C"/>
          <w:sz w:val="24"/>
          <w:szCs w:val="24"/>
          <w:lang w:val="en" w:eastAsia="en-AU"/>
        </w:rPr>
      </w:pPr>
      <w:r w:rsidRPr="00434BA9">
        <w:rPr>
          <w:rFonts w:ascii="VIC-Regular" w:eastAsia="Times New Roman" w:hAnsi="VIC-Regular" w:cs="Times New Roman"/>
          <w:color w:val="011A3C"/>
          <w:sz w:val="24"/>
          <w:szCs w:val="24"/>
          <w:lang w:val="en" w:eastAsia="en-AU"/>
        </w:rPr>
        <w:t>a practicing Strategic Financial Management Advisor</w:t>
      </w:r>
    </w:p>
    <w:p w14:paraId="5920B2AE" w14:textId="6873282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letter confirming the Panel’s decision will be sent to the principal, with copies to the Regional Director and Regional Finance Manager. The principal will be </w:t>
      </w:r>
      <w:r w:rsidR="00434BA9">
        <w:rPr>
          <w:rFonts w:ascii="VIC-Regular" w:eastAsia="Times New Roman" w:hAnsi="VIC-Regular" w:cs="Times New Roman"/>
          <w:color w:val="011A3C"/>
          <w:sz w:val="24"/>
          <w:szCs w:val="24"/>
          <w:lang w:val="en" w:eastAsia="en-AU"/>
        </w:rPr>
        <w:t xml:space="preserve">asked </w:t>
      </w:r>
      <w:r w:rsidRPr="00DE5882">
        <w:rPr>
          <w:rFonts w:ascii="VIC-Regular" w:eastAsia="Times New Roman" w:hAnsi="VIC-Regular" w:cs="Times New Roman"/>
          <w:color w:val="011A3C"/>
          <w:sz w:val="24"/>
          <w:szCs w:val="24"/>
          <w:lang w:val="en" w:eastAsia="en-AU"/>
        </w:rPr>
        <w:t>to inform the school council of the Panel’s decision.</w:t>
      </w:r>
    </w:p>
    <w:p w14:paraId="5673AC41" w14:textId="24D8E5BF"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level of support determined by the Panel and approved by the </w:t>
      </w:r>
      <w:r w:rsidR="00434BA9" w:rsidRPr="00434BA9">
        <w:rPr>
          <w:rFonts w:ascii="VIC-Regular" w:eastAsia="Times New Roman" w:hAnsi="VIC-Regular" w:cs="Times New Roman"/>
          <w:color w:val="011A3C"/>
          <w:sz w:val="24"/>
          <w:szCs w:val="24"/>
          <w:lang w:val="en" w:eastAsia="en-AU"/>
        </w:rPr>
        <w:t>Deputy Secretary, Financial Policy and Information Services</w:t>
      </w:r>
      <w:r w:rsidR="00434BA9" w:rsidRPr="00434BA9" w:rsidDel="00434BA9">
        <w:rPr>
          <w:rFonts w:ascii="VIC-Regular" w:eastAsia="Times New Roman" w:hAnsi="VIC-Regular" w:cs="Times New Roman"/>
          <w:color w:val="011A3C"/>
          <w:sz w:val="24"/>
          <w:szCs w:val="24"/>
          <w:lang w:val="en" w:eastAsia="en-AU"/>
        </w:rPr>
        <w:t xml:space="preserve"> </w:t>
      </w:r>
      <w:r w:rsidRPr="00DE5882">
        <w:rPr>
          <w:rFonts w:ascii="VIC-Regular" w:eastAsia="Times New Roman" w:hAnsi="VIC-Regular" w:cs="Times New Roman"/>
          <w:color w:val="011A3C"/>
          <w:sz w:val="24"/>
          <w:szCs w:val="24"/>
          <w:lang w:val="en" w:eastAsia="en-AU"/>
        </w:rPr>
        <w:t>will be reflected on the School’s Budget Management Report.</w:t>
      </w:r>
    </w:p>
    <w:p w14:paraId="2EA41ACC" w14:textId="2FF287FC"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final amount of any Workforce Bridging financial assistance is subject to confirmation at the end of the calendar year as the amount notionally approved </w:t>
      </w:r>
      <w:r w:rsidR="00434BA9">
        <w:rPr>
          <w:rFonts w:ascii="VIC-Regular" w:eastAsia="Times New Roman" w:hAnsi="VIC-Regular" w:cs="Times New Roman"/>
          <w:color w:val="011A3C"/>
          <w:sz w:val="24"/>
          <w:szCs w:val="24"/>
          <w:lang w:val="en" w:eastAsia="en-AU"/>
        </w:rPr>
        <w:t xml:space="preserve">and </w:t>
      </w:r>
      <w:r w:rsidRPr="00DE5882">
        <w:rPr>
          <w:rFonts w:ascii="VIC-Regular" w:eastAsia="Times New Roman" w:hAnsi="VIC-Regular" w:cs="Times New Roman"/>
          <w:color w:val="011A3C"/>
          <w:sz w:val="24"/>
          <w:szCs w:val="24"/>
          <w:lang w:val="en" w:eastAsia="en-AU"/>
        </w:rPr>
        <w:t>may be reduced subject to reconciliation of the school’s SRP.</w:t>
      </w:r>
    </w:p>
    <w:p w14:paraId="68A4CE2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Review</w:t>
      </w:r>
    </w:p>
    <w:p w14:paraId="3E73180A" w14:textId="7D7AB211" w:rsidR="00151158" w:rsidRPr="00151158" w:rsidRDefault="0096466B" w:rsidP="0015115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process is available for schools </w:t>
      </w:r>
      <w:r w:rsidR="00151158">
        <w:rPr>
          <w:rFonts w:ascii="VIC-Regular" w:eastAsia="Times New Roman" w:hAnsi="VIC-Regular" w:cs="Times New Roman"/>
          <w:color w:val="011A3C"/>
          <w:sz w:val="24"/>
          <w:szCs w:val="24"/>
          <w:lang w:val="en" w:eastAsia="en-AU"/>
        </w:rPr>
        <w:t xml:space="preserve">that </w:t>
      </w:r>
      <w:r w:rsidRPr="00DE5882">
        <w:rPr>
          <w:rFonts w:ascii="VIC-Regular" w:eastAsia="Times New Roman" w:hAnsi="VIC-Regular" w:cs="Times New Roman"/>
          <w:color w:val="011A3C"/>
          <w:sz w:val="24"/>
          <w:szCs w:val="24"/>
          <w:lang w:val="en" w:eastAsia="en-AU"/>
        </w:rPr>
        <w:t xml:space="preserve">wish to have the decision of the Panel reviewed. Requests, outlining the grounds for the review, should be lodged </w:t>
      </w:r>
      <w:r w:rsidR="00434BA9" w:rsidRPr="00DE5882">
        <w:rPr>
          <w:rFonts w:ascii="VIC-Regular" w:eastAsia="Times New Roman" w:hAnsi="VIC-Regular" w:cs="Times New Roman"/>
          <w:color w:val="011A3C"/>
          <w:sz w:val="24"/>
          <w:szCs w:val="24"/>
          <w:lang w:val="en" w:eastAsia="en-AU"/>
        </w:rPr>
        <w:t>within 14 days of the receipt of the letter confirming the Panel’s decision</w:t>
      </w:r>
      <w:r w:rsidR="00434BA9">
        <w:rPr>
          <w:rFonts w:ascii="VIC-Regular" w:eastAsia="Times New Roman" w:hAnsi="VIC-Regular" w:cs="Times New Roman"/>
          <w:color w:val="011A3C"/>
          <w:sz w:val="24"/>
          <w:szCs w:val="24"/>
          <w:lang w:val="en" w:eastAsia="en-AU"/>
        </w:rPr>
        <w:t xml:space="preserve"> by </w:t>
      </w:r>
      <w:r w:rsidR="00434BA9">
        <w:rPr>
          <w:rFonts w:ascii="VIC-Regular" w:eastAsia="Times New Roman" w:hAnsi="VIC-Regular" w:cs="Times New Roman"/>
          <w:color w:val="011A3C"/>
          <w:sz w:val="24"/>
          <w:szCs w:val="24"/>
          <w:lang w:val="en" w:eastAsia="en-AU"/>
        </w:rPr>
        <w:lastRenderedPageBreak/>
        <w:t xml:space="preserve">notifying </w:t>
      </w:r>
      <w:r w:rsidRPr="00DE5882">
        <w:rPr>
          <w:rFonts w:ascii="VIC-Regular" w:eastAsia="Times New Roman" w:hAnsi="VIC-Regular" w:cs="Times New Roman"/>
          <w:color w:val="011A3C"/>
          <w:sz w:val="24"/>
          <w:szCs w:val="24"/>
          <w:lang w:val="en" w:eastAsia="en-AU"/>
        </w:rPr>
        <w:t>:</w:t>
      </w:r>
      <w:r w:rsidRPr="00DE5882">
        <w:rPr>
          <w:rFonts w:ascii="VIC-Regular" w:eastAsia="Times New Roman" w:hAnsi="VIC-Regular" w:cs="Times New Roman"/>
          <w:color w:val="011A3C"/>
          <w:sz w:val="24"/>
          <w:szCs w:val="24"/>
          <w:lang w:val="en" w:eastAsia="en-AU"/>
        </w:rPr>
        <w:br/>
      </w:r>
      <w:r w:rsidRPr="00DE5882">
        <w:rPr>
          <w:rFonts w:ascii="VIC-Regular" w:eastAsia="Times New Roman" w:hAnsi="VIC-Regular" w:cs="Times New Roman"/>
          <w:color w:val="011A3C"/>
          <w:sz w:val="24"/>
          <w:szCs w:val="24"/>
          <w:lang w:val="en" w:eastAsia="en-AU"/>
        </w:rPr>
        <w:br/>
        <w:t>Manager</w:t>
      </w:r>
      <w:r w:rsidRPr="00DE5882">
        <w:rPr>
          <w:rFonts w:ascii="VIC-Regular" w:eastAsia="Times New Roman" w:hAnsi="VIC-Regular" w:cs="Times New Roman"/>
          <w:color w:val="011A3C"/>
          <w:sz w:val="24"/>
          <w:szCs w:val="24"/>
          <w:lang w:val="en" w:eastAsia="en-AU"/>
        </w:rPr>
        <w:br/>
        <w:t>Schools Financial Management Support</w:t>
      </w:r>
      <w:r w:rsidR="00434BA9">
        <w:rPr>
          <w:rFonts w:ascii="VIC-Regular" w:eastAsia="Times New Roman" w:hAnsi="VIC-Regular" w:cs="Times New Roman"/>
          <w:color w:val="011A3C"/>
          <w:sz w:val="24"/>
          <w:szCs w:val="24"/>
          <w:lang w:val="en" w:eastAsia="en-AU"/>
        </w:rPr>
        <w:t xml:space="preserve"> Unit</w:t>
      </w:r>
      <w:r w:rsidRPr="00DE5882">
        <w:rPr>
          <w:rFonts w:ascii="VIC-Regular" w:eastAsia="Times New Roman" w:hAnsi="VIC-Regular" w:cs="Times New Roman"/>
          <w:color w:val="011A3C"/>
          <w:sz w:val="24"/>
          <w:szCs w:val="24"/>
          <w:lang w:val="en" w:eastAsia="en-AU"/>
        </w:rPr>
        <w:br/>
      </w:r>
      <w:r w:rsidR="00151158" w:rsidRPr="00151158">
        <w:rPr>
          <w:rFonts w:ascii="VIC-Regular" w:eastAsia="Times New Roman" w:hAnsi="VIC-Regular" w:cs="Times New Roman"/>
          <w:color w:val="011A3C"/>
          <w:sz w:val="24"/>
          <w:szCs w:val="24"/>
          <w:lang w:val="en" w:eastAsia="en-AU"/>
        </w:rPr>
        <w:t>Department of Education and Training</w:t>
      </w:r>
    </w:p>
    <w:p w14:paraId="7C9BBF9D" w14:textId="77777777" w:rsidR="00151158" w:rsidRPr="003E6B76" w:rsidRDefault="00151158" w:rsidP="003E6B76">
      <w:pPr>
        <w:pStyle w:val="NoSpacing"/>
        <w:rPr>
          <w:rFonts w:ascii="VIC-Regular" w:eastAsia="Times New Roman" w:hAnsi="VIC-Regular" w:cs="Times New Roman"/>
          <w:color w:val="011A3C"/>
          <w:sz w:val="24"/>
          <w:szCs w:val="24"/>
          <w:lang w:val="en" w:eastAsia="en-AU"/>
        </w:rPr>
      </w:pPr>
      <w:r w:rsidRPr="003E6B76">
        <w:rPr>
          <w:rFonts w:ascii="VIC-Regular" w:eastAsia="Times New Roman" w:hAnsi="VIC-Regular" w:cs="Times New Roman"/>
          <w:color w:val="011A3C"/>
          <w:sz w:val="24"/>
          <w:szCs w:val="24"/>
          <w:lang w:val="en" w:eastAsia="en-AU"/>
        </w:rPr>
        <w:t>Financial Services Division</w:t>
      </w:r>
    </w:p>
    <w:p w14:paraId="6D53E4E1" w14:textId="77777777" w:rsidR="003E6B76" w:rsidRPr="003E6B76" w:rsidRDefault="00151158" w:rsidP="003E6B76">
      <w:pPr>
        <w:pStyle w:val="NoSpacing"/>
        <w:rPr>
          <w:rFonts w:ascii="VIC-Regular" w:eastAsia="Times New Roman" w:hAnsi="VIC-Regular" w:cs="Times New Roman"/>
          <w:color w:val="011A3C"/>
          <w:sz w:val="24"/>
          <w:szCs w:val="24"/>
          <w:lang w:val="en" w:eastAsia="en-AU"/>
        </w:rPr>
      </w:pPr>
      <w:r w:rsidRPr="003E6B76">
        <w:rPr>
          <w:rFonts w:ascii="VIC-Regular" w:eastAsia="Times New Roman" w:hAnsi="VIC-Regular" w:cs="Times New Roman"/>
          <w:color w:val="011A3C"/>
          <w:sz w:val="24"/>
          <w:szCs w:val="24"/>
          <w:lang w:val="en" w:eastAsia="en-AU"/>
        </w:rPr>
        <w:t>GPO Box 4367  </w:t>
      </w:r>
    </w:p>
    <w:p w14:paraId="1585003D" w14:textId="4FE05CC6" w:rsidR="0096466B" w:rsidRPr="00DE5882" w:rsidRDefault="0096466B" w:rsidP="003E6B76">
      <w:pPr>
        <w:pStyle w:val="NoSpacing"/>
        <w:rPr>
          <w:lang w:val="en" w:eastAsia="en-AU"/>
        </w:rPr>
      </w:pPr>
      <w:r w:rsidRPr="003E6B76">
        <w:rPr>
          <w:rFonts w:ascii="VIC-Regular" w:eastAsia="Times New Roman" w:hAnsi="VIC-Regular" w:cs="Times New Roman"/>
          <w:color w:val="011A3C"/>
          <w:sz w:val="24"/>
          <w:szCs w:val="24"/>
          <w:lang w:val="en" w:eastAsia="en-AU"/>
        </w:rPr>
        <w:t>Melbourne 300</w:t>
      </w:r>
      <w:r w:rsidR="00151158" w:rsidRPr="003E6B76">
        <w:rPr>
          <w:rFonts w:ascii="VIC-Regular" w:eastAsia="Times New Roman" w:hAnsi="VIC-Regular" w:cs="Times New Roman"/>
          <w:color w:val="011A3C"/>
          <w:sz w:val="24"/>
          <w:szCs w:val="24"/>
          <w:lang w:val="en" w:eastAsia="en-AU"/>
        </w:rPr>
        <w:t>1</w:t>
      </w:r>
      <w:r w:rsidRPr="003E6B76">
        <w:rPr>
          <w:rFonts w:ascii="VIC-Regular" w:eastAsia="Times New Roman" w:hAnsi="VIC-Regular" w:cs="Times New Roman"/>
          <w:color w:val="011A3C"/>
          <w:sz w:val="24"/>
          <w:szCs w:val="24"/>
          <w:lang w:val="en" w:eastAsia="en-AU"/>
        </w:rPr>
        <w:br/>
      </w:r>
      <w:r w:rsidRPr="00DE5882">
        <w:rPr>
          <w:lang w:val="en" w:eastAsia="en-AU"/>
        </w:rPr>
        <w:br/>
      </w:r>
      <w:r w:rsidRPr="006E3D8D">
        <w:rPr>
          <w:color w:val="323E4F" w:themeColor="text2" w:themeShade="BF"/>
          <w:lang w:val="en" w:eastAsia="en-AU"/>
        </w:rPr>
        <w:t xml:space="preserve"> If additional information is provided it should be explained why it was not included in the original report.</w:t>
      </w:r>
    </w:p>
    <w:p w14:paraId="2A66F0BD" w14:textId="123529C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review will, in the first instance, be considered by the Panel and may be referred to the Deputy Secretary, Financial Policy and Information </w:t>
      </w:r>
      <w:r w:rsidR="00151158" w:rsidRPr="00DE5882">
        <w:rPr>
          <w:rFonts w:ascii="VIC-Regular" w:eastAsia="Times New Roman" w:hAnsi="VIC-Regular" w:cs="Times New Roman"/>
          <w:color w:val="011A3C"/>
          <w:sz w:val="24"/>
          <w:szCs w:val="24"/>
          <w:lang w:val="en" w:eastAsia="en-AU"/>
        </w:rPr>
        <w:t>Services.</w:t>
      </w:r>
    </w:p>
    <w:p w14:paraId="4A2E4E9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Ensuring consistency</w:t>
      </w:r>
    </w:p>
    <w:p w14:paraId="32DCBDB6" w14:textId="432A871C"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SFMS has overall responsibility for the Workforce Bridging process and works with schools, regions, professional associations and stakeholder reference groups to ensure that the process is supportive of schools, while remaining fair and consistent with the principles of devolved school self-management.</w:t>
      </w:r>
    </w:p>
    <w:p w14:paraId="5966C476" w14:textId="77777777" w:rsidR="0096466B" w:rsidRDefault="0096466B" w:rsidP="0096466B">
      <w:r>
        <w:br w:type="page"/>
      </w:r>
    </w:p>
    <w:p w14:paraId="568BB86F" w14:textId="2CFFD65F" w:rsidR="0096466B" w:rsidRPr="00DE5882" w:rsidRDefault="0096466B" w:rsidP="00842992">
      <w:pPr>
        <w:pStyle w:val="Heading2"/>
      </w:pPr>
      <w:bookmarkStart w:id="96" w:name="_Toc52796232"/>
      <w:r w:rsidRPr="00DE5882">
        <w:lastRenderedPageBreak/>
        <w:t>Principal classification budget</w:t>
      </w:r>
      <w:bookmarkEnd w:id="96"/>
    </w:p>
    <w:p w14:paraId="492F64CC"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Budget for principal classification</w:t>
      </w:r>
    </w:p>
    <w:p w14:paraId="3A3AC438" w14:textId="1C906C6B"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Principal Classification Budget is set annually with the 202</w:t>
      </w:r>
      <w:r w:rsidR="00151158">
        <w:rPr>
          <w:rFonts w:ascii="VIC-Regular" w:eastAsia="Times New Roman" w:hAnsi="VIC-Regular" w:cs="Times New Roman"/>
          <w:color w:val="011A3C"/>
          <w:sz w:val="24"/>
          <w:szCs w:val="24"/>
          <w:lang w:val="en" w:eastAsia="en-AU"/>
        </w:rPr>
        <w:t>1</w:t>
      </w:r>
      <w:r w:rsidRPr="00DE5882">
        <w:rPr>
          <w:rFonts w:ascii="VIC-Regular" w:eastAsia="Times New Roman" w:hAnsi="VIC-Regular" w:cs="Times New Roman"/>
          <w:color w:val="011A3C"/>
          <w:sz w:val="24"/>
          <w:szCs w:val="24"/>
          <w:lang w:val="en" w:eastAsia="en-AU"/>
        </w:rPr>
        <w:t xml:space="preserve"> confirmed school resource allocation. It sets the remuneration range for each principal position.</w:t>
      </w:r>
    </w:p>
    <w:p w14:paraId="70A63D6F" w14:textId="518E0C4C" w:rsidR="0096466B" w:rsidRPr="00A9180D" w:rsidRDefault="0096466B" w:rsidP="00A918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Refer to: </w:t>
      </w:r>
      <w:hyperlink r:id="rId177" w:history="1">
        <w:r w:rsidRPr="00DE5882">
          <w:rPr>
            <w:rFonts w:ascii="VIC-Regular" w:eastAsia="Times New Roman" w:hAnsi="VIC-Regular" w:cs="Times New Roman"/>
            <w:color w:val="011A3C"/>
            <w:sz w:val="24"/>
            <w:szCs w:val="24"/>
            <w:lang w:val="en" w:eastAsia="en-AU"/>
          </w:rPr>
          <w:t>Principal Remuneration Range</w:t>
        </w:r>
      </w:hyperlink>
      <w:r w:rsidRPr="00DE5882">
        <w:rPr>
          <w:rFonts w:ascii="VIC-Regular" w:eastAsia="Times New Roman" w:hAnsi="VIC-Regular" w:cs="Times New Roman"/>
          <w:color w:val="011A3C"/>
          <w:sz w:val="24"/>
          <w:szCs w:val="24"/>
          <w:lang w:val="en" w:eastAsia="en-AU"/>
        </w:rPr>
        <w:t>.</w:t>
      </w:r>
    </w:p>
    <w:p w14:paraId="348FAF0E" w14:textId="77777777" w:rsidR="0096466B" w:rsidRDefault="0096466B" w:rsidP="0096466B">
      <w:r>
        <w:br w:type="page"/>
      </w:r>
    </w:p>
    <w:p w14:paraId="073B7CF0" w14:textId="77777777" w:rsidR="0096466B" w:rsidRDefault="0096466B" w:rsidP="00842992">
      <w:pPr>
        <w:pStyle w:val="Heading2"/>
      </w:pPr>
      <w:bookmarkStart w:id="97" w:name="_Toc52796233"/>
      <w:r>
        <w:lastRenderedPageBreak/>
        <w:t>Enrolment Variation Funding</w:t>
      </w:r>
      <w:bookmarkEnd w:id="97"/>
      <w:r>
        <w:t xml:space="preserve"> </w:t>
      </w:r>
    </w:p>
    <w:p w14:paraId="1034B64B" w14:textId="77777777" w:rsidR="0096466B" w:rsidRDefault="0096466B" w:rsidP="0096466B">
      <w:pPr>
        <w:spacing w:after="0" w:line="240" w:lineRule="auto"/>
        <w:rPr>
          <w:rFonts w:ascii="Times New Roman" w:eastAsia="Times New Roman" w:hAnsi="Times New Roman" w:cs="Times New Roman"/>
          <w:b/>
          <w:sz w:val="28"/>
          <w:szCs w:val="28"/>
          <w:lang w:eastAsia="en-AU"/>
        </w:rPr>
      </w:pPr>
    </w:p>
    <w:p w14:paraId="614CB158" w14:textId="77777777" w:rsidR="0024710E" w:rsidRPr="007E3304" w:rsidRDefault="0024710E" w:rsidP="0024710E">
      <w:pPr>
        <w:spacing w:after="0" w:line="240" w:lineRule="auto"/>
        <w:rPr>
          <w:rFonts w:ascii="VIC-Regular" w:eastAsia="Times New Roman" w:hAnsi="VIC-Regular" w:cs="Times New Roman"/>
          <w:b/>
          <w:bCs/>
          <w:color w:val="011A3C"/>
          <w:sz w:val="24"/>
          <w:szCs w:val="24"/>
          <w:lang w:val="en" w:eastAsia="en-AU"/>
        </w:rPr>
      </w:pPr>
      <w:r w:rsidRPr="007E3304">
        <w:rPr>
          <w:rFonts w:ascii="VIC-Regular" w:eastAsia="Times New Roman" w:hAnsi="VIC-Regular" w:cs="Times New Roman"/>
          <w:b/>
          <w:bCs/>
          <w:color w:val="011A3C"/>
          <w:sz w:val="24"/>
          <w:szCs w:val="24"/>
          <w:lang w:val="en" w:eastAsia="en-AU"/>
        </w:rPr>
        <w:t xml:space="preserve">Significant Variation </w:t>
      </w:r>
    </w:p>
    <w:p w14:paraId="563C59E1" w14:textId="6B9C1664"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 xml:space="preserve">Significant variation funding is </w:t>
      </w:r>
      <w:r w:rsidR="00D8442E">
        <w:rPr>
          <w:rFonts w:ascii="VIC-Regular" w:eastAsia="Times New Roman" w:hAnsi="VIC-Regular" w:cs="Times New Roman"/>
          <w:color w:val="011A3C"/>
          <w:sz w:val="24"/>
          <w:szCs w:val="24"/>
          <w:lang w:val="en" w:eastAsia="en-AU"/>
        </w:rPr>
        <w:t xml:space="preserve">included </w:t>
      </w:r>
      <w:r w:rsidRPr="007E3304">
        <w:rPr>
          <w:rFonts w:ascii="VIC-Regular" w:eastAsia="Times New Roman" w:hAnsi="VIC-Regular" w:cs="Times New Roman"/>
          <w:color w:val="011A3C"/>
          <w:sz w:val="24"/>
          <w:szCs w:val="24"/>
          <w:lang w:val="en" w:eastAsia="en-AU"/>
        </w:rPr>
        <w:t>automatically to the term 3 cash grant, after the mid-year census.  It is designed to provide additional cash funds only to schools where there has been an increase in student numbers of:</w:t>
      </w:r>
    </w:p>
    <w:p w14:paraId="6450EF91"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10037DEC"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Primary:</w:t>
      </w:r>
      <w:r w:rsidRPr="007E3304">
        <w:rPr>
          <w:rFonts w:ascii="VIC-Regular" w:eastAsia="Times New Roman" w:hAnsi="VIC-Regular" w:cs="Times New Roman"/>
          <w:color w:val="011A3C"/>
          <w:sz w:val="24"/>
          <w:szCs w:val="24"/>
          <w:lang w:val="en" w:eastAsia="en-AU"/>
        </w:rPr>
        <w:tab/>
        <w:t>The greater of 10 students or an increase of 10%</w:t>
      </w:r>
    </w:p>
    <w:p w14:paraId="71027DF4"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Secondary:</w:t>
      </w:r>
      <w:r w:rsidRPr="007E3304">
        <w:rPr>
          <w:rFonts w:ascii="VIC-Regular" w:eastAsia="Times New Roman" w:hAnsi="VIC-Regular" w:cs="Times New Roman"/>
          <w:color w:val="011A3C"/>
          <w:sz w:val="24"/>
          <w:szCs w:val="24"/>
          <w:lang w:val="en" w:eastAsia="en-AU"/>
        </w:rPr>
        <w:tab/>
        <w:t xml:space="preserve">The greater of 40 students or an increase of 10%  </w:t>
      </w:r>
    </w:p>
    <w:p w14:paraId="07A6F4D4"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2B0B0DCF"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Only 2 terms equivalent funding will be provided based on the minimum per student cash rate and once assessed will appear in your reports as an item under the ‘Curriculum Support’ budget line by end of Term 3.</w:t>
      </w:r>
    </w:p>
    <w:p w14:paraId="621D78CB" w14:textId="77777777" w:rsidR="0024710E" w:rsidRPr="006B355A" w:rsidRDefault="0024710E" w:rsidP="0024710E">
      <w:pPr>
        <w:spacing w:after="0" w:line="240" w:lineRule="auto"/>
        <w:rPr>
          <w:rFonts w:ascii="Calibri" w:eastAsia="Times New Roman" w:hAnsi="Calibri" w:cs="Calibri"/>
          <w:lang w:eastAsia="en-AU"/>
        </w:rPr>
      </w:pPr>
    </w:p>
    <w:p w14:paraId="1FAFDF3C" w14:textId="77777777" w:rsidR="0024710E" w:rsidRPr="006B355A" w:rsidRDefault="0024710E" w:rsidP="0024710E">
      <w:pPr>
        <w:spacing w:after="0" w:line="240" w:lineRule="auto"/>
        <w:rPr>
          <w:rFonts w:ascii="Calibri" w:eastAsia="Times New Roman" w:hAnsi="Calibri" w:cs="Calibri"/>
          <w:lang w:eastAsia="en-AU"/>
        </w:rPr>
      </w:pPr>
    </w:p>
    <w:p w14:paraId="3913D252" w14:textId="5E13EC25" w:rsidR="0024710E" w:rsidRPr="006E3D8D" w:rsidRDefault="0024710E" w:rsidP="0024710E">
      <w:pPr>
        <w:spacing w:after="0" w:line="240" w:lineRule="auto"/>
        <w:rPr>
          <w:rFonts w:ascii="Calibri" w:eastAsia="Times New Roman" w:hAnsi="Calibri" w:cs="Calibri"/>
          <w:b/>
          <w:bCs/>
          <w:color w:val="323E4F" w:themeColor="text2" w:themeShade="BF"/>
          <w:lang w:eastAsia="en-AU"/>
        </w:rPr>
      </w:pPr>
      <w:r w:rsidRPr="006E3D8D">
        <w:rPr>
          <w:rFonts w:ascii="Calibri" w:eastAsia="Times New Roman" w:hAnsi="Calibri" w:cs="Calibri"/>
          <w:b/>
          <w:bCs/>
          <w:color w:val="323E4F" w:themeColor="text2" w:themeShade="BF"/>
          <w:lang w:eastAsia="en-AU"/>
        </w:rPr>
        <w:t xml:space="preserve">For example (202): </w:t>
      </w:r>
    </w:p>
    <w:p w14:paraId="48785F3E" w14:textId="77777777" w:rsidR="0024710E" w:rsidRPr="006E3D8D" w:rsidRDefault="0024710E" w:rsidP="0024710E">
      <w:pPr>
        <w:spacing w:after="0" w:line="240" w:lineRule="auto"/>
        <w:ind w:left="426"/>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Primary:</w:t>
      </w:r>
    </w:p>
    <w:p w14:paraId="4CEAA3FD"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Enrolment Increase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   10</w:t>
      </w:r>
    </w:p>
    <w:p w14:paraId="60A21246" w14:textId="3D571DFC"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Cash Rate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$469</w:t>
      </w:r>
    </w:p>
    <w:p w14:paraId="44A400D0"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p>
    <w:p w14:paraId="62C00F4A"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Additional Funding</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Enrolment increase × Cash Rate / 2</w:t>
      </w:r>
    </w:p>
    <w:p w14:paraId="7D178104" w14:textId="52261E85"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10 × </w:t>
      </w:r>
      <w:r w:rsidR="00D8442E" w:rsidRPr="006E3D8D">
        <w:rPr>
          <w:rFonts w:ascii="Calibri" w:eastAsia="Times New Roman" w:hAnsi="Calibri" w:cs="Calibri"/>
          <w:color w:val="323E4F" w:themeColor="text2" w:themeShade="BF"/>
          <w:lang w:eastAsia="en-AU"/>
        </w:rPr>
        <w:t>$469</w:t>
      </w:r>
      <w:r w:rsidRPr="006E3D8D">
        <w:rPr>
          <w:rFonts w:ascii="Calibri" w:eastAsia="Times New Roman" w:hAnsi="Calibri" w:cs="Calibri"/>
          <w:color w:val="323E4F" w:themeColor="text2" w:themeShade="BF"/>
          <w:lang w:eastAsia="en-AU"/>
        </w:rPr>
        <w:t>/ 2</w:t>
      </w:r>
    </w:p>
    <w:p w14:paraId="09BD6F51" w14:textId="1B6DA338"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$2,345</w:t>
      </w:r>
    </w:p>
    <w:p w14:paraId="43642974" w14:textId="77777777" w:rsidR="0024710E" w:rsidRPr="006E3D8D" w:rsidRDefault="0024710E" w:rsidP="0024710E">
      <w:pPr>
        <w:spacing w:after="0" w:line="240" w:lineRule="auto"/>
        <w:ind w:left="426"/>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Secondary:</w:t>
      </w:r>
    </w:p>
    <w:p w14:paraId="7497155D"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Enrolment Increase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   40</w:t>
      </w:r>
    </w:p>
    <w:p w14:paraId="631B82E6" w14:textId="581B5915"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Cash Rate</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$524</w:t>
      </w:r>
    </w:p>
    <w:p w14:paraId="3179A3F9"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p>
    <w:p w14:paraId="229448F2" w14:textId="77777777"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Additional Funding</w:t>
      </w: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Enrolment increase × Cash Rate / 2</w:t>
      </w:r>
    </w:p>
    <w:p w14:paraId="2DBF3C50" w14:textId="2C356E3F" w:rsidR="0024710E" w:rsidRPr="006E3D8D" w:rsidRDefault="0024710E" w:rsidP="0024710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t xml:space="preserve">40 × </w:t>
      </w:r>
      <w:r w:rsidR="00D8442E" w:rsidRPr="006E3D8D">
        <w:rPr>
          <w:rFonts w:ascii="Calibri" w:eastAsia="Times New Roman" w:hAnsi="Calibri" w:cs="Calibri"/>
          <w:color w:val="323E4F" w:themeColor="text2" w:themeShade="BF"/>
          <w:lang w:eastAsia="en-AU"/>
        </w:rPr>
        <w:t>$524</w:t>
      </w:r>
      <w:r w:rsidRPr="006E3D8D">
        <w:rPr>
          <w:rFonts w:ascii="Calibri" w:eastAsia="Times New Roman" w:hAnsi="Calibri" w:cs="Calibri"/>
          <w:color w:val="323E4F" w:themeColor="text2" w:themeShade="BF"/>
          <w:lang w:eastAsia="en-AU"/>
        </w:rPr>
        <w:t>/ 2</w:t>
      </w:r>
    </w:p>
    <w:p w14:paraId="00D8B031" w14:textId="7736C17A" w:rsidR="0024710E" w:rsidRPr="006E3D8D" w:rsidRDefault="0024710E" w:rsidP="00D8442E">
      <w:pPr>
        <w:tabs>
          <w:tab w:val="left" w:pos="3544"/>
          <w:tab w:val="left" w:pos="3969"/>
        </w:tabs>
        <w:spacing w:after="0" w:line="240" w:lineRule="auto"/>
        <w:ind w:left="993"/>
        <w:rPr>
          <w:rFonts w:ascii="Calibri" w:eastAsia="Times New Roman" w:hAnsi="Calibri" w:cs="Calibri"/>
          <w:color w:val="323E4F" w:themeColor="text2" w:themeShade="BF"/>
          <w:lang w:eastAsia="en-AU"/>
        </w:rPr>
      </w:pPr>
      <w:r w:rsidRPr="006E3D8D">
        <w:rPr>
          <w:rFonts w:ascii="Calibri" w:eastAsia="Times New Roman" w:hAnsi="Calibri" w:cs="Calibri"/>
          <w:color w:val="323E4F" w:themeColor="text2" w:themeShade="BF"/>
          <w:lang w:eastAsia="en-AU"/>
        </w:rPr>
        <w:tab/>
        <w:t>=</w:t>
      </w:r>
      <w:r w:rsidRPr="006E3D8D">
        <w:rPr>
          <w:rFonts w:ascii="Calibri" w:eastAsia="Times New Roman" w:hAnsi="Calibri" w:cs="Calibri"/>
          <w:color w:val="323E4F" w:themeColor="text2" w:themeShade="BF"/>
          <w:lang w:eastAsia="en-AU"/>
        </w:rPr>
        <w:tab/>
      </w:r>
      <w:r w:rsidR="00D8442E" w:rsidRPr="006E3D8D">
        <w:rPr>
          <w:rFonts w:ascii="Calibri" w:eastAsia="Times New Roman" w:hAnsi="Calibri" w:cs="Calibri"/>
          <w:color w:val="323E4F" w:themeColor="text2" w:themeShade="BF"/>
          <w:lang w:eastAsia="en-AU"/>
        </w:rPr>
        <w:t>$10,480</w:t>
      </w:r>
    </w:p>
    <w:p w14:paraId="13EBE6D3" w14:textId="77777777" w:rsidR="0024710E" w:rsidRPr="006B355A" w:rsidRDefault="0024710E" w:rsidP="0024710E">
      <w:pPr>
        <w:spacing w:after="0" w:line="240" w:lineRule="auto"/>
        <w:rPr>
          <w:rFonts w:ascii="Calibri" w:eastAsia="Times New Roman" w:hAnsi="Calibri" w:cs="Calibri"/>
          <w:lang w:eastAsia="en-AU"/>
        </w:rPr>
      </w:pPr>
    </w:p>
    <w:p w14:paraId="5C02E7C5"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Additional Funding post February census that must be supported by the Regional Director of the relevant region.</w:t>
      </w:r>
    </w:p>
    <w:p w14:paraId="768261F8" w14:textId="77777777" w:rsidR="0024710E" w:rsidRPr="006B355A" w:rsidRDefault="0024710E" w:rsidP="0024710E">
      <w:pPr>
        <w:spacing w:after="0" w:line="240" w:lineRule="auto"/>
        <w:rPr>
          <w:rFonts w:ascii="Calibri" w:eastAsia="Times New Roman" w:hAnsi="Calibri" w:cs="Calibri"/>
          <w:b/>
          <w:sz w:val="24"/>
          <w:szCs w:val="24"/>
          <w:lang w:eastAsia="en-AU"/>
        </w:rPr>
      </w:pPr>
    </w:p>
    <w:p w14:paraId="4B702B40" w14:textId="5781C479" w:rsidR="00D8442E" w:rsidRDefault="00D8442E" w:rsidP="0024710E">
      <w:pPr>
        <w:spacing w:after="0" w:line="240" w:lineRule="auto"/>
        <w:rPr>
          <w:rFonts w:ascii="VIC-Regular" w:eastAsia="Times New Roman" w:hAnsi="VIC-Regular" w:cs="Times New Roman"/>
          <w:color w:val="011A3C"/>
          <w:sz w:val="24"/>
          <w:szCs w:val="24"/>
          <w:lang w:val="en" w:eastAsia="en-AU"/>
        </w:rPr>
      </w:pPr>
      <w:r w:rsidRPr="00D8442E">
        <w:rPr>
          <w:rFonts w:ascii="VIC-Regular" w:eastAsia="Times New Roman" w:hAnsi="VIC-Regular" w:cs="Times New Roman"/>
          <w:color w:val="011A3C"/>
          <w:sz w:val="24"/>
          <w:szCs w:val="24"/>
          <w:lang w:val="en" w:eastAsia="en-AU"/>
        </w:rPr>
        <w:t>Additional</w:t>
      </w:r>
      <w:r w:rsidR="00434BA9">
        <w:rPr>
          <w:rFonts w:ascii="VIC-Regular" w:eastAsia="Times New Roman" w:hAnsi="VIC-Regular" w:cs="Times New Roman"/>
          <w:color w:val="011A3C"/>
          <w:sz w:val="24"/>
          <w:szCs w:val="24"/>
          <w:lang w:val="en" w:eastAsia="en-AU"/>
        </w:rPr>
        <w:t xml:space="preserve"> credit</w:t>
      </w:r>
      <w:r w:rsidRPr="00D8442E">
        <w:rPr>
          <w:rFonts w:ascii="VIC-Regular" w:eastAsia="Times New Roman" w:hAnsi="VIC-Regular" w:cs="Times New Roman"/>
          <w:color w:val="011A3C"/>
          <w:sz w:val="24"/>
          <w:szCs w:val="24"/>
          <w:lang w:val="en" w:eastAsia="en-AU"/>
        </w:rPr>
        <w:t xml:space="preserve"> funding may be considered where a school can demonstrate the establishment of new classes after February census significantly increased costs as a result of additional student numbers. </w:t>
      </w:r>
      <w:r w:rsidR="00434BA9" w:rsidRPr="00434BA9">
        <w:rPr>
          <w:rFonts w:ascii="VIC-Regular" w:eastAsia="Times New Roman" w:hAnsi="VIC-Regular" w:cs="Times New Roman"/>
          <w:color w:val="011A3C"/>
          <w:sz w:val="24"/>
          <w:szCs w:val="24"/>
          <w:lang w:val="en" w:eastAsia="en-AU"/>
        </w:rPr>
        <w:t>Schools must also demonstrate that additional staffing</w:t>
      </w:r>
      <w:r w:rsidR="00434BA9">
        <w:rPr>
          <w:rFonts w:ascii="VIC-Regular" w:eastAsia="Times New Roman" w:hAnsi="VIC-Regular" w:cs="Times New Roman"/>
          <w:color w:val="011A3C"/>
          <w:sz w:val="24"/>
          <w:szCs w:val="24"/>
          <w:lang w:val="en" w:eastAsia="en-AU"/>
        </w:rPr>
        <w:t xml:space="preserve"> </w:t>
      </w:r>
      <w:r w:rsidR="00434BA9" w:rsidRPr="00434BA9">
        <w:rPr>
          <w:rFonts w:ascii="VIC-Regular" w:eastAsia="Times New Roman" w:hAnsi="VIC-Regular" w:cs="Times New Roman"/>
          <w:color w:val="011A3C"/>
          <w:sz w:val="24"/>
          <w:szCs w:val="24"/>
          <w:lang w:val="en" w:eastAsia="en-AU"/>
        </w:rPr>
        <w:t>costs are unable to be accommodated within the existing budget</w:t>
      </w:r>
      <w:r w:rsidR="00434BA9">
        <w:rPr>
          <w:rFonts w:ascii="VIC-Regular" w:eastAsia="Times New Roman" w:hAnsi="VIC-Regular" w:cs="Times New Roman"/>
          <w:color w:val="011A3C"/>
          <w:sz w:val="24"/>
          <w:szCs w:val="24"/>
          <w:lang w:val="en" w:eastAsia="en-AU"/>
        </w:rPr>
        <w:t>.</w:t>
      </w:r>
    </w:p>
    <w:p w14:paraId="1827675C"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3AB50233" w14:textId="407180CC"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 xml:space="preserve">The request should be made in writing to the respective regional director and should include a business case outlining the detail of the </w:t>
      </w:r>
      <w:r w:rsidR="00D8442E">
        <w:rPr>
          <w:rFonts w:ascii="VIC-Regular" w:eastAsia="Times New Roman" w:hAnsi="VIC-Regular" w:cs="Times New Roman"/>
          <w:color w:val="011A3C"/>
          <w:sz w:val="24"/>
          <w:szCs w:val="24"/>
          <w:lang w:val="en" w:eastAsia="en-AU"/>
        </w:rPr>
        <w:t xml:space="preserve">enrolment </w:t>
      </w:r>
      <w:r w:rsidRPr="007E3304">
        <w:rPr>
          <w:rFonts w:ascii="VIC-Regular" w:eastAsia="Times New Roman" w:hAnsi="VIC-Regular" w:cs="Times New Roman"/>
          <w:color w:val="011A3C"/>
          <w:sz w:val="24"/>
          <w:szCs w:val="24"/>
          <w:lang w:val="en" w:eastAsia="en-AU"/>
        </w:rPr>
        <w:t xml:space="preserve">growth and subsequent requirement to add an additional class </w:t>
      </w:r>
      <w:r w:rsidR="00D8442E">
        <w:rPr>
          <w:rFonts w:ascii="VIC-Regular" w:eastAsia="Times New Roman" w:hAnsi="VIC-Regular" w:cs="Times New Roman"/>
          <w:color w:val="011A3C"/>
          <w:sz w:val="24"/>
          <w:szCs w:val="24"/>
          <w:lang w:val="en" w:eastAsia="en-AU"/>
        </w:rPr>
        <w:t xml:space="preserve">after </w:t>
      </w:r>
      <w:r w:rsidRPr="007E3304">
        <w:rPr>
          <w:rFonts w:ascii="VIC-Regular" w:eastAsia="Times New Roman" w:hAnsi="VIC-Regular" w:cs="Times New Roman"/>
          <w:color w:val="011A3C"/>
          <w:sz w:val="24"/>
          <w:szCs w:val="24"/>
          <w:lang w:val="en" w:eastAsia="en-AU"/>
        </w:rPr>
        <w:t xml:space="preserve">February census and the subsequent employment required to teach the </w:t>
      </w:r>
      <w:r w:rsidRPr="007E3304">
        <w:rPr>
          <w:rFonts w:ascii="VIC-Regular" w:eastAsia="Times New Roman" w:hAnsi="VIC-Regular" w:cs="Times New Roman"/>
          <w:color w:val="011A3C"/>
          <w:sz w:val="24"/>
          <w:szCs w:val="24"/>
          <w:lang w:val="en" w:eastAsia="en-AU"/>
        </w:rPr>
        <w:lastRenderedPageBreak/>
        <w:t>additional class</w:t>
      </w:r>
      <w:r w:rsidR="00D8442E">
        <w:rPr>
          <w:rFonts w:ascii="VIC-Regular" w:eastAsia="Times New Roman" w:hAnsi="VIC-Regular" w:cs="Times New Roman"/>
          <w:color w:val="011A3C"/>
          <w:sz w:val="24"/>
          <w:szCs w:val="24"/>
          <w:lang w:val="en" w:eastAsia="en-AU"/>
        </w:rPr>
        <w:t>. Employment details</w:t>
      </w:r>
      <w:r w:rsidRPr="007E3304">
        <w:rPr>
          <w:rFonts w:ascii="VIC-Regular" w:eastAsia="Times New Roman" w:hAnsi="VIC-Regular" w:cs="Times New Roman"/>
          <w:color w:val="011A3C"/>
          <w:sz w:val="24"/>
          <w:szCs w:val="24"/>
          <w:lang w:val="en" w:eastAsia="en-AU"/>
        </w:rPr>
        <w:t xml:space="preserve"> must include teacher name, </w:t>
      </w:r>
      <w:r w:rsidR="00D8442E">
        <w:rPr>
          <w:rFonts w:ascii="VIC-Regular" w:eastAsia="Times New Roman" w:hAnsi="VIC-Regular" w:cs="Times New Roman"/>
          <w:color w:val="011A3C"/>
          <w:sz w:val="24"/>
          <w:szCs w:val="24"/>
          <w:lang w:val="en" w:eastAsia="en-AU"/>
        </w:rPr>
        <w:t>PIN</w:t>
      </w:r>
      <w:r w:rsidR="00D8442E" w:rsidRPr="007E3304">
        <w:rPr>
          <w:rFonts w:ascii="VIC-Regular" w:eastAsia="Times New Roman" w:hAnsi="VIC-Regular" w:cs="Times New Roman"/>
          <w:color w:val="011A3C"/>
          <w:sz w:val="24"/>
          <w:szCs w:val="24"/>
          <w:lang w:val="en" w:eastAsia="en-AU"/>
        </w:rPr>
        <w:t xml:space="preserve"> </w:t>
      </w:r>
      <w:r w:rsidRPr="007E3304">
        <w:rPr>
          <w:rFonts w:ascii="VIC-Regular" w:eastAsia="Times New Roman" w:hAnsi="VIC-Regular" w:cs="Times New Roman"/>
          <w:color w:val="011A3C"/>
          <w:sz w:val="24"/>
          <w:szCs w:val="24"/>
          <w:lang w:val="en" w:eastAsia="en-AU"/>
        </w:rPr>
        <w:t>number and date of employment, which must be post census.</w:t>
      </w:r>
    </w:p>
    <w:p w14:paraId="4D223DD6"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21798575" w14:textId="50D296CF" w:rsidR="00EA34C0" w:rsidRPr="00EA34C0" w:rsidRDefault="0024710E" w:rsidP="007E3304">
      <w:pPr>
        <w:spacing w:after="0" w:line="240" w:lineRule="auto"/>
      </w:pPr>
      <w:r w:rsidRPr="007E3304">
        <w:rPr>
          <w:rFonts w:ascii="VIC-Regular" w:eastAsia="Times New Roman" w:hAnsi="VIC-Regular" w:cs="Times New Roman"/>
          <w:color w:val="011A3C"/>
          <w:sz w:val="24"/>
          <w:szCs w:val="24"/>
          <w:lang w:val="en" w:eastAsia="en-AU"/>
        </w:rPr>
        <w:t>The business case will be assessed by the Schools Finance and Resources Branch and a decision will be conveyed to the school and relevant regional officers.</w:t>
      </w:r>
    </w:p>
    <w:sectPr w:rsidR="00EA34C0" w:rsidRPr="00EA34C0" w:rsidSect="00F148B2">
      <w:footerReference w:type="default" r:id="rId178"/>
      <w:pgSz w:w="11906" w:h="16838"/>
      <w:pgMar w:top="1440" w:right="1440" w:bottom="1440" w:left="1440" w:header="708" w:footer="708" w:gutter="0"/>
      <w:pgBorders w:display="firstPage"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D2888" w14:textId="77777777" w:rsidR="007E3659" w:rsidRDefault="007E3659" w:rsidP="00196C78">
      <w:pPr>
        <w:spacing w:after="0" w:line="240" w:lineRule="auto"/>
      </w:pPr>
      <w:r>
        <w:separator/>
      </w:r>
    </w:p>
  </w:endnote>
  <w:endnote w:type="continuationSeparator" w:id="0">
    <w:p w14:paraId="2FF2C48D" w14:textId="77777777" w:rsidR="007E3659" w:rsidRDefault="007E3659" w:rsidP="0019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Regular">
    <w:altName w:val="Calibri"/>
    <w:panose1 w:val="000005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Bold">
    <w:altName w:val="Calibri"/>
    <w:panose1 w:val="000008000000000000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8201941"/>
      <w:docPartObj>
        <w:docPartGallery w:val="Page Numbers (Bottom of Page)"/>
        <w:docPartUnique/>
      </w:docPartObj>
    </w:sdtPr>
    <w:sdtEndPr>
      <w:rPr>
        <w:noProof/>
      </w:rPr>
    </w:sdtEndPr>
    <w:sdtContent>
      <w:p w14:paraId="1396C1A4" w14:textId="39F0722B" w:rsidR="00FB4222" w:rsidRPr="00EA2308" w:rsidRDefault="00FB4222">
        <w:pPr>
          <w:pStyle w:val="Footer"/>
          <w:jc w:val="right"/>
          <w:rPr>
            <w:sz w:val="20"/>
            <w:szCs w:val="20"/>
          </w:rPr>
        </w:pPr>
        <w:r w:rsidRPr="00EA2308">
          <w:rPr>
            <w:sz w:val="20"/>
            <w:szCs w:val="20"/>
          </w:rPr>
          <w:t xml:space="preserve">2021 Student Resource Package Guidance    Page </w:t>
        </w:r>
        <w:r w:rsidRPr="00EA2308">
          <w:rPr>
            <w:sz w:val="20"/>
            <w:szCs w:val="20"/>
          </w:rPr>
          <w:fldChar w:fldCharType="begin"/>
        </w:r>
        <w:r w:rsidRPr="00EA2308">
          <w:rPr>
            <w:sz w:val="20"/>
            <w:szCs w:val="20"/>
          </w:rPr>
          <w:instrText xml:space="preserve"> PAGE   \* MERGEFORMAT </w:instrText>
        </w:r>
        <w:r w:rsidRPr="00EA2308">
          <w:rPr>
            <w:sz w:val="20"/>
            <w:szCs w:val="20"/>
          </w:rPr>
          <w:fldChar w:fldCharType="separate"/>
        </w:r>
        <w:r w:rsidRPr="00EA2308">
          <w:rPr>
            <w:noProof/>
            <w:sz w:val="20"/>
            <w:szCs w:val="20"/>
          </w:rPr>
          <w:t>2</w:t>
        </w:r>
        <w:r w:rsidRPr="00EA2308">
          <w:rPr>
            <w:noProof/>
            <w:sz w:val="20"/>
            <w:szCs w:val="20"/>
          </w:rPr>
          <w:fldChar w:fldCharType="end"/>
        </w:r>
      </w:p>
    </w:sdtContent>
  </w:sdt>
  <w:p w14:paraId="1A538205" w14:textId="77777777" w:rsidR="00FB4222" w:rsidRDefault="00FB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FBCA0" w14:textId="77777777" w:rsidR="007E3659" w:rsidRDefault="007E3659" w:rsidP="00196C78">
      <w:pPr>
        <w:spacing w:after="0" w:line="240" w:lineRule="auto"/>
      </w:pPr>
      <w:r>
        <w:separator/>
      </w:r>
    </w:p>
  </w:footnote>
  <w:footnote w:type="continuationSeparator" w:id="0">
    <w:p w14:paraId="1FA920BD" w14:textId="77777777" w:rsidR="007E3659" w:rsidRDefault="007E3659" w:rsidP="0019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415D"/>
    <w:multiLevelType w:val="multilevel"/>
    <w:tmpl w:val="828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42016"/>
    <w:multiLevelType w:val="multilevel"/>
    <w:tmpl w:val="221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07922"/>
    <w:multiLevelType w:val="multilevel"/>
    <w:tmpl w:val="B28A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B16F1"/>
    <w:multiLevelType w:val="multilevel"/>
    <w:tmpl w:val="A006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B4C3E"/>
    <w:multiLevelType w:val="multilevel"/>
    <w:tmpl w:val="60B8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C18C1"/>
    <w:multiLevelType w:val="multilevel"/>
    <w:tmpl w:val="9B7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42E94"/>
    <w:multiLevelType w:val="multilevel"/>
    <w:tmpl w:val="19F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914A0"/>
    <w:multiLevelType w:val="multilevel"/>
    <w:tmpl w:val="D2F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C1845"/>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8C5E8A"/>
    <w:multiLevelType w:val="multilevel"/>
    <w:tmpl w:val="48E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B57628"/>
    <w:multiLevelType w:val="multilevel"/>
    <w:tmpl w:val="454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B578F2"/>
    <w:multiLevelType w:val="multilevel"/>
    <w:tmpl w:val="7AB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0B67CA"/>
    <w:multiLevelType w:val="multilevel"/>
    <w:tmpl w:val="E32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C7F03"/>
    <w:multiLevelType w:val="multilevel"/>
    <w:tmpl w:val="CD54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A02405"/>
    <w:multiLevelType w:val="multilevel"/>
    <w:tmpl w:val="016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D81B49"/>
    <w:multiLevelType w:val="multilevel"/>
    <w:tmpl w:val="DC4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136CB6"/>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A424EB"/>
    <w:multiLevelType w:val="multilevel"/>
    <w:tmpl w:val="285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C61EC4"/>
    <w:multiLevelType w:val="multilevel"/>
    <w:tmpl w:val="F8A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254EAF"/>
    <w:multiLevelType w:val="multilevel"/>
    <w:tmpl w:val="846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452C4F"/>
    <w:multiLevelType w:val="multilevel"/>
    <w:tmpl w:val="3CD6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B12B2"/>
    <w:multiLevelType w:val="multilevel"/>
    <w:tmpl w:val="B7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7911AD"/>
    <w:multiLevelType w:val="multilevel"/>
    <w:tmpl w:val="9F8AE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0DFB0D0C"/>
    <w:multiLevelType w:val="multilevel"/>
    <w:tmpl w:val="48B4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575D60"/>
    <w:multiLevelType w:val="multilevel"/>
    <w:tmpl w:val="E92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6A1A88"/>
    <w:multiLevelType w:val="multilevel"/>
    <w:tmpl w:val="F86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DD677A"/>
    <w:multiLevelType w:val="multilevel"/>
    <w:tmpl w:val="227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55678"/>
    <w:multiLevelType w:val="hybridMultilevel"/>
    <w:tmpl w:val="E510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F927DF1"/>
    <w:multiLevelType w:val="multilevel"/>
    <w:tmpl w:val="C33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074BD2"/>
    <w:multiLevelType w:val="multilevel"/>
    <w:tmpl w:val="F00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074E73"/>
    <w:multiLevelType w:val="multilevel"/>
    <w:tmpl w:val="D0FA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EC798B"/>
    <w:multiLevelType w:val="hybridMultilevel"/>
    <w:tmpl w:val="5CF21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143558C4"/>
    <w:multiLevelType w:val="multilevel"/>
    <w:tmpl w:val="3C0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61106E"/>
    <w:multiLevelType w:val="multilevel"/>
    <w:tmpl w:val="FEA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D31027"/>
    <w:multiLevelType w:val="multilevel"/>
    <w:tmpl w:val="D5E8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DF72F5"/>
    <w:multiLevelType w:val="multilevel"/>
    <w:tmpl w:val="C9C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ED00A5"/>
    <w:multiLevelType w:val="multilevel"/>
    <w:tmpl w:val="AC7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2735B2"/>
    <w:multiLevelType w:val="hybridMultilevel"/>
    <w:tmpl w:val="4EB4B1F4"/>
    <w:lvl w:ilvl="0" w:tplc="1604F79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5AC2BAE"/>
    <w:multiLevelType w:val="multilevel"/>
    <w:tmpl w:val="BC8A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B8745E"/>
    <w:multiLevelType w:val="hybridMultilevel"/>
    <w:tmpl w:val="33BAED40"/>
    <w:lvl w:ilvl="0" w:tplc="DF5C483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5D84219"/>
    <w:multiLevelType w:val="multilevel"/>
    <w:tmpl w:val="164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F47451"/>
    <w:multiLevelType w:val="multilevel"/>
    <w:tmpl w:val="1BEC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C64DFB"/>
    <w:multiLevelType w:val="multilevel"/>
    <w:tmpl w:val="CC26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2D3BC9"/>
    <w:multiLevelType w:val="multilevel"/>
    <w:tmpl w:val="BF9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B35EA6"/>
    <w:multiLevelType w:val="multilevel"/>
    <w:tmpl w:val="C39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505B15"/>
    <w:multiLevelType w:val="multilevel"/>
    <w:tmpl w:val="F8C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AA721F"/>
    <w:multiLevelType w:val="multilevel"/>
    <w:tmpl w:val="B23E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7F52CF"/>
    <w:multiLevelType w:val="multilevel"/>
    <w:tmpl w:val="22E0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266BF7"/>
    <w:multiLevelType w:val="multilevel"/>
    <w:tmpl w:val="857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4D391D"/>
    <w:multiLevelType w:val="multilevel"/>
    <w:tmpl w:val="B46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532964"/>
    <w:multiLevelType w:val="multilevel"/>
    <w:tmpl w:val="4FD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805515"/>
    <w:multiLevelType w:val="multilevel"/>
    <w:tmpl w:val="96F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101A06"/>
    <w:multiLevelType w:val="multilevel"/>
    <w:tmpl w:val="2DA0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2E1BF6"/>
    <w:multiLevelType w:val="multilevel"/>
    <w:tmpl w:val="AB70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FB4D29"/>
    <w:multiLevelType w:val="multilevel"/>
    <w:tmpl w:val="B698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F04061B"/>
    <w:multiLevelType w:val="multilevel"/>
    <w:tmpl w:val="F44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4D7DAE"/>
    <w:multiLevelType w:val="multilevel"/>
    <w:tmpl w:val="7F8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AE66E6"/>
    <w:multiLevelType w:val="multilevel"/>
    <w:tmpl w:val="AF5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B72B96"/>
    <w:multiLevelType w:val="multilevel"/>
    <w:tmpl w:val="91F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E26099"/>
    <w:multiLevelType w:val="multilevel"/>
    <w:tmpl w:val="4D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F2445E"/>
    <w:multiLevelType w:val="multilevel"/>
    <w:tmpl w:val="2DA8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4234B3"/>
    <w:multiLevelType w:val="multilevel"/>
    <w:tmpl w:val="0A7C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F364C9"/>
    <w:multiLevelType w:val="multilevel"/>
    <w:tmpl w:val="770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220C58"/>
    <w:multiLevelType w:val="multilevel"/>
    <w:tmpl w:val="72A2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B050E8"/>
    <w:multiLevelType w:val="multilevel"/>
    <w:tmpl w:val="3CA8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7C55DB4"/>
    <w:multiLevelType w:val="multilevel"/>
    <w:tmpl w:val="17E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212638"/>
    <w:multiLevelType w:val="multilevel"/>
    <w:tmpl w:val="F10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21181E"/>
    <w:multiLevelType w:val="multilevel"/>
    <w:tmpl w:val="CED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5A2F36"/>
    <w:multiLevelType w:val="multilevel"/>
    <w:tmpl w:val="CB6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9039BF"/>
    <w:multiLevelType w:val="multilevel"/>
    <w:tmpl w:val="4C5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653046"/>
    <w:multiLevelType w:val="multilevel"/>
    <w:tmpl w:val="5D8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ACE577C"/>
    <w:multiLevelType w:val="multilevel"/>
    <w:tmpl w:val="08F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D9060A"/>
    <w:multiLevelType w:val="multilevel"/>
    <w:tmpl w:val="B23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6C0F7C"/>
    <w:multiLevelType w:val="multilevel"/>
    <w:tmpl w:val="5BD0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F74DD8"/>
    <w:multiLevelType w:val="multilevel"/>
    <w:tmpl w:val="1F0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487DFF"/>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D084AC9"/>
    <w:multiLevelType w:val="multilevel"/>
    <w:tmpl w:val="8B2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D3E720C"/>
    <w:multiLevelType w:val="multilevel"/>
    <w:tmpl w:val="228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000356"/>
    <w:multiLevelType w:val="multilevel"/>
    <w:tmpl w:val="5E5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1228D3"/>
    <w:multiLevelType w:val="multilevel"/>
    <w:tmpl w:val="B44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1B100D"/>
    <w:multiLevelType w:val="multilevel"/>
    <w:tmpl w:val="D9C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3A2B3C"/>
    <w:multiLevelType w:val="multilevel"/>
    <w:tmpl w:val="D514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4B2C49"/>
    <w:multiLevelType w:val="multilevel"/>
    <w:tmpl w:val="6AF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E5F365C"/>
    <w:multiLevelType w:val="multilevel"/>
    <w:tmpl w:val="31C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B2278F"/>
    <w:multiLevelType w:val="multilevel"/>
    <w:tmpl w:val="C5F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C2752E"/>
    <w:multiLevelType w:val="hybridMultilevel"/>
    <w:tmpl w:val="53B4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FD9458C"/>
    <w:multiLevelType w:val="multilevel"/>
    <w:tmpl w:val="8B4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29419D"/>
    <w:multiLevelType w:val="multilevel"/>
    <w:tmpl w:val="BC8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13F75EC"/>
    <w:multiLevelType w:val="multilevel"/>
    <w:tmpl w:val="5854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1717597"/>
    <w:multiLevelType w:val="multilevel"/>
    <w:tmpl w:val="D7B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3521DBB"/>
    <w:multiLevelType w:val="multilevel"/>
    <w:tmpl w:val="798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59251DB"/>
    <w:multiLevelType w:val="multilevel"/>
    <w:tmpl w:val="273C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5E43B37"/>
    <w:multiLevelType w:val="multilevel"/>
    <w:tmpl w:val="C98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6919AB"/>
    <w:multiLevelType w:val="multilevel"/>
    <w:tmpl w:val="DCF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86420C"/>
    <w:multiLevelType w:val="hybridMultilevel"/>
    <w:tmpl w:val="05B2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820715C"/>
    <w:multiLevelType w:val="multilevel"/>
    <w:tmpl w:val="605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8263EAA"/>
    <w:multiLevelType w:val="multilevel"/>
    <w:tmpl w:val="96DA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9361A09"/>
    <w:multiLevelType w:val="multilevel"/>
    <w:tmpl w:val="1EA4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9C91DAD"/>
    <w:multiLevelType w:val="multilevel"/>
    <w:tmpl w:val="647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9E00514"/>
    <w:multiLevelType w:val="multilevel"/>
    <w:tmpl w:val="0E7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AC26827"/>
    <w:multiLevelType w:val="multilevel"/>
    <w:tmpl w:val="F3A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B10190E"/>
    <w:multiLevelType w:val="multilevel"/>
    <w:tmpl w:val="CD0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BEA4EF8"/>
    <w:multiLevelType w:val="multilevel"/>
    <w:tmpl w:val="87F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C122EA0"/>
    <w:multiLevelType w:val="multilevel"/>
    <w:tmpl w:val="DDE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E56318B"/>
    <w:multiLevelType w:val="multilevel"/>
    <w:tmpl w:val="A064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A27D9F"/>
    <w:multiLevelType w:val="multilevel"/>
    <w:tmpl w:val="223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FBF3CBB"/>
    <w:multiLevelType w:val="multilevel"/>
    <w:tmpl w:val="322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08C7A09"/>
    <w:multiLevelType w:val="multilevel"/>
    <w:tmpl w:val="E4D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CE62CF"/>
    <w:multiLevelType w:val="multilevel"/>
    <w:tmpl w:val="DB7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615618"/>
    <w:multiLevelType w:val="multilevel"/>
    <w:tmpl w:val="3BF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16B760F"/>
    <w:multiLevelType w:val="hybridMultilevel"/>
    <w:tmpl w:val="B3A2FB8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3C584FBA">
      <w:numFmt w:val="bullet"/>
      <w:lvlText w:val="•"/>
      <w:lvlJc w:val="left"/>
      <w:pPr>
        <w:ind w:left="2700" w:hanging="720"/>
      </w:pPr>
      <w:rPr>
        <w:rFonts w:ascii="VIC-Regular" w:eastAsia="Times New Roman" w:hAnsi="VIC-Regular"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3C3412D"/>
    <w:multiLevelType w:val="multilevel"/>
    <w:tmpl w:val="3A0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52F68D6"/>
    <w:multiLevelType w:val="multilevel"/>
    <w:tmpl w:val="60C6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59D578F"/>
    <w:multiLevelType w:val="multilevel"/>
    <w:tmpl w:val="A822B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45AF13BA"/>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5D41AAB"/>
    <w:multiLevelType w:val="multilevel"/>
    <w:tmpl w:val="804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7A248F6"/>
    <w:multiLevelType w:val="hybridMultilevel"/>
    <w:tmpl w:val="898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8633AA6"/>
    <w:multiLevelType w:val="multilevel"/>
    <w:tmpl w:val="4A4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C6F7F1C"/>
    <w:multiLevelType w:val="multilevel"/>
    <w:tmpl w:val="656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D03357C"/>
    <w:multiLevelType w:val="multilevel"/>
    <w:tmpl w:val="2ED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E9D2FDF"/>
    <w:multiLevelType w:val="multilevel"/>
    <w:tmpl w:val="737E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F3C049E"/>
    <w:multiLevelType w:val="multilevel"/>
    <w:tmpl w:val="8E1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FBD4FA8"/>
    <w:multiLevelType w:val="multilevel"/>
    <w:tmpl w:val="2FB6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0926AD"/>
    <w:multiLevelType w:val="multilevel"/>
    <w:tmpl w:val="D33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15903AF"/>
    <w:multiLevelType w:val="multilevel"/>
    <w:tmpl w:val="18F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1BC5410"/>
    <w:multiLevelType w:val="multilevel"/>
    <w:tmpl w:val="5D9C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0F4527"/>
    <w:multiLevelType w:val="multilevel"/>
    <w:tmpl w:val="3424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1F6525"/>
    <w:multiLevelType w:val="multilevel"/>
    <w:tmpl w:val="1DE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4A32F53"/>
    <w:multiLevelType w:val="multilevel"/>
    <w:tmpl w:val="6D6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F6173A"/>
    <w:multiLevelType w:val="multilevel"/>
    <w:tmpl w:val="777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5462578"/>
    <w:multiLevelType w:val="multilevel"/>
    <w:tmpl w:val="3ED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55850DC"/>
    <w:multiLevelType w:val="multilevel"/>
    <w:tmpl w:val="B2B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64E3B6A"/>
    <w:multiLevelType w:val="multilevel"/>
    <w:tmpl w:val="343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6954BB1"/>
    <w:multiLevelType w:val="multilevel"/>
    <w:tmpl w:val="34E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74B1D4D"/>
    <w:multiLevelType w:val="multilevel"/>
    <w:tmpl w:val="81E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84767FA"/>
    <w:multiLevelType w:val="multilevel"/>
    <w:tmpl w:val="5B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A6069B"/>
    <w:multiLevelType w:val="multilevel"/>
    <w:tmpl w:val="372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A2170A8"/>
    <w:multiLevelType w:val="multilevel"/>
    <w:tmpl w:val="54C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10472D"/>
    <w:multiLevelType w:val="multilevel"/>
    <w:tmpl w:val="B25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B2725F3"/>
    <w:multiLevelType w:val="multilevel"/>
    <w:tmpl w:val="1DF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B8D7700"/>
    <w:multiLevelType w:val="multilevel"/>
    <w:tmpl w:val="334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C8A5C53"/>
    <w:multiLevelType w:val="multilevel"/>
    <w:tmpl w:val="38D4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E91350"/>
    <w:multiLevelType w:val="multilevel"/>
    <w:tmpl w:val="15B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0E3219"/>
    <w:multiLevelType w:val="multilevel"/>
    <w:tmpl w:val="4EF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8D2E11"/>
    <w:multiLevelType w:val="multilevel"/>
    <w:tmpl w:val="142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E041539"/>
    <w:multiLevelType w:val="multilevel"/>
    <w:tmpl w:val="B39A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106697"/>
    <w:multiLevelType w:val="multilevel"/>
    <w:tmpl w:val="FC2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EBB0334"/>
    <w:multiLevelType w:val="multilevel"/>
    <w:tmpl w:val="3E0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7846EA"/>
    <w:multiLevelType w:val="multilevel"/>
    <w:tmpl w:val="83E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FD83678"/>
    <w:multiLevelType w:val="multilevel"/>
    <w:tmpl w:val="947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FE17918"/>
    <w:multiLevelType w:val="multilevel"/>
    <w:tmpl w:val="BDF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06A1D87"/>
    <w:multiLevelType w:val="multilevel"/>
    <w:tmpl w:val="E3CC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1832820"/>
    <w:multiLevelType w:val="multilevel"/>
    <w:tmpl w:val="256C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38F2F8E"/>
    <w:multiLevelType w:val="multilevel"/>
    <w:tmpl w:val="474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3CF4F71"/>
    <w:multiLevelType w:val="multilevel"/>
    <w:tmpl w:val="DA8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3F501CB"/>
    <w:multiLevelType w:val="multilevel"/>
    <w:tmpl w:val="D23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66797B"/>
    <w:multiLevelType w:val="multilevel"/>
    <w:tmpl w:val="858E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46E2299"/>
    <w:multiLevelType w:val="multilevel"/>
    <w:tmpl w:val="DF8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47708A8"/>
    <w:multiLevelType w:val="multilevel"/>
    <w:tmpl w:val="91BEC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4A26635"/>
    <w:multiLevelType w:val="multilevel"/>
    <w:tmpl w:val="98D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543189E"/>
    <w:multiLevelType w:val="multilevel"/>
    <w:tmpl w:val="3C7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5640405"/>
    <w:multiLevelType w:val="multilevel"/>
    <w:tmpl w:val="D5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7060BA1"/>
    <w:multiLevelType w:val="hybridMultilevel"/>
    <w:tmpl w:val="C82A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75159A7"/>
    <w:multiLevelType w:val="multilevel"/>
    <w:tmpl w:val="321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7A16000"/>
    <w:multiLevelType w:val="multilevel"/>
    <w:tmpl w:val="5F4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82B033A"/>
    <w:multiLevelType w:val="multilevel"/>
    <w:tmpl w:val="03A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8457F6F"/>
    <w:multiLevelType w:val="multilevel"/>
    <w:tmpl w:val="2F5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92C7FB8"/>
    <w:multiLevelType w:val="multilevel"/>
    <w:tmpl w:val="F9B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1E3C9D"/>
    <w:multiLevelType w:val="multilevel"/>
    <w:tmpl w:val="2708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A690E00"/>
    <w:multiLevelType w:val="multilevel"/>
    <w:tmpl w:val="6E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A940C97"/>
    <w:multiLevelType w:val="multilevel"/>
    <w:tmpl w:val="4C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B9C7B0D"/>
    <w:multiLevelType w:val="multilevel"/>
    <w:tmpl w:val="F03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BB000B9"/>
    <w:multiLevelType w:val="multilevel"/>
    <w:tmpl w:val="BF4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BE0356E"/>
    <w:multiLevelType w:val="multilevel"/>
    <w:tmpl w:val="05B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E5745E"/>
    <w:multiLevelType w:val="multilevel"/>
    <w:tmpl w:val="FE4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C8163ED"/>
    <w:multiLevelType w:val="multilevel"/>
    <w:tmpl w:val="6F6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E95280E"/>
    <w:multiLevelType w:val="multilevel"/>
    <w:tmpl w:val="A17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EBF6E60"/>
    <w:multiLevelType w:val="multilevel"/>
    <w:tmpl w:val="402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293915"/>
    <w:multiLevelType w:val="multilevel"/>
    <w:tmpl w:val="221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2794A5F"/>
    <w:multiLevelType w:val="multilevel"/>
    <w:tmpl w:val="A45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2F04089"/>
    <w:multiLevelType w:val="multilevel"/>
    <w:tmpl w:val="2C2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3EF7BC9"/>
    <w:multiLevelType w:val="multilevel"/>
    <w:tmpl w:val="54CC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1445B0"/>
    <w:multiLevelType w:val="multilevel"/>
    <w:tmpl w:val="8A7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5871B30"/>
    <w:multiLevelType w:val="hybridMultilevel"/>
    <w:tmpl w:val="7EC6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5C97571"/>
    <w:multiLevelType w:val="multilevel"/>
    <w:tmpl w:val="68C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75B2562"/>
    <w:multiLevelType w:val="multilevel"/>
    <w:tmpl w:val="C15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813F1D"/>
    <w:multiLevelType w:val="multilevel"/>
    <w:tmpl w:val="F96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8D9740D"/>
    <w:multiLevelType w:val="multilevel"/>
    <w:tmpl w:val="D04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A195956"/>
    <w:multiLevelType w:val="multilevel"/>
    <w:tmpl w:val="01A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A60044E"/>
    <w:multiLevelType w:val="multilevel"/>
    <w:tmpl w:val="8A6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A9D3DC3"/>
    <w:multiLevelType w:val="multilevel"/>
    <w:tmpl w:val="5CD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B9309DF"/>
    <w:multiLevelType w:val="multilevel"/>
    <w:tmpl w:val="AD5A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CE36996"/>
    <w:multiLevelType w:val="multilevel"/>
    <w:tmpl w:val="F9B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DD4122C"/>
    <w:multiLevelType w:val="multilevel"/>
    <w:tmpl w:val="8D6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DEB06B6"/>
    <w:multiLevelType w:val="multilevel"/>
    <w:tmpl w:val="237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F117506"/>
    <w:multiLevelType w:val="multilevel"/>
    <w:tmpl w:val="8D6C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0"/>
  </w:num>
  <w:num w:numId="2">
    <w:abstractNumId w:val="43"/>
  </w:num>
  <w:num w:numId="3">
    <w:abstractNumId w:val="40"/>
  </w:num>
  <w:num w:numId="4">
    <w:abstractNumId w:val="5"/>
  </w:num>
  <w:num w:numId="5">
    <w:abstractNumId w:val="64"/>
  </w:num>
  <w:num w:numId="6">
    <w:abstractNumId w:val="65"/>
  </w:num>
  <w:num w:numId="7">
    <w:abstractNumId w:val="88"/>
  </w:num>
  <w:num w:numId="8">
    <w:abstractNumId w:val="17"/>
  </w:num>
  <w:num w:numId="9">
    <w:abstractNumId w:val="84"/>
  </w:num>
  <w:num w:numId="10">
    <w:abstractNumId w:val="32"/>
  </w:num>
  <w:num w:numId="11">
    <w:abstractNumId w:val="147"/>
  </w:num>
  <w:num w:numId="12">
    <w:abstractNumId w:val="77"/>
  </w:num>
  <w:num w:numId="13">
    <w:abstractNumId w:val="14"/>
  </w:num>
  <w:num w:numId="14">
    <w:abstractNumId w:val="157"/>
  </w:num>
  <w:num w:numId="15">
    <w:abstractNumId w:val="105"/>
  </w:num>
  <w:num w:numId="16">
    <w:abstractNumId w:val="41"/>
  </w:num>
  <w:num w:numId="17">
    <w:abstractNumId w:val="159"/>
  </w:num>
  <w:num w:numId="18">
    <w:abstractNumId w:val="127"/>
  </w:num>
  <w:num w:numId="19">
    <w:abstractNumId w:val="30"/>
  </w:num>
  <w:num w:numId="20">
    <w:abstractNumId w:val="58"/>
  </w:num>
  <w:num w:numId="21">
    <w:abstractNumId w:val="23"/>
  </w:num>
  <w:num w:numId="22">
    <w:abstractNumId w:val="91"/>
  </w:num>
  <w:num w:numId="23">
    <w:abstractNumId w:val="33"/>
  </w:num>
  <w:num w:numId="24">
    <w:abstractNumId w:val="154"/>
  </w:num>
  <w:num w:numId="25">
    <w:abstractNumId w:val="103"/>
  </w:num>
  <w:num w:numId="26">
    <w:abstractNumId w:val="57"/>
  </w:num>
  <w:num w:numId="27">
    <w:abstractNumId w:val="25"/>
  </w:num>
  <w:num w:numId="28">
    <w:abstractNumId w:val="115"/>
  </w:num>
  <w:num w:numId="29">
    <w:abstractNumId w:val="181"/>
  </w:num>
  <w:num w:numId="30">
    <w:abstractNumId w:val="126"/>
  </w:num>
  <w:num w:numId="31">
    <w:abstractNumId w:val="171"/>
  </w:num>
  <w:num w:numId="32">
    <w:abstractNumId w:val="81"/>
  </w:num>
  <w:num w:numId="33">
    <w:abstractNumId w:val="59"/>
  </w:num>
  <w:num w:numId="34">
    <w:abstractNumId w:val="152"/>
  </w:num>
  <w:num w:numId="35">
    <w:abstractNumId w:val="185"/>
  </w:num>
  <w:num w:numId="36">
    <w:abstractNumId w:val="165"/>
  </w:num>
  <w:num w:numId="37">
    <w:abstractNumId w:val="70"/>
  </w:num>
  <w:num w:numId="38">
    <w:abstractNumId w:val="111"/>
  </w:num>
  <w:num w:numId="39">
    <w:abstractNumId w:val="90"/>
  </w:num>
  <w:num w:numId="40">
    <w:abstractNumId w:val="138"/>
  </w:num>
  <w:num w:numId="41">
    <w:abstractNumId w:val="21"/>
  </w:num>
  <w:num w:numId="42">
    <w:abstractNumId w:val="95"/>
  </w:num>
  <w:num w:numId="43">
    <w:abstractNumId w:val="174"/>
  </w:num>
  <w:num w:numId="44">
    <w:abstractNumId w:val="54"/>
  </w:num>
  <w:num w:numId="45">
    <w:abstractNumId w:val="156"/>
  </w:num>
  <w:num w:numId="46">
    <w:abstractNumId w:val="132"/>
  </w:num>
  <w:num w:numId="47">
    <w:abstractNumId w:val="34"/>
  </w:num>
  <w:num w:numId="48">
    <w:abstractNumId w:val="180"/>
  </w:num>
  <w:num w:numId="49">
    <w:abstractNumId w:val="168"/>
  </w:num>
  <w:num w:numId="50">
    <w:abstractNumId w:val="99"/>
  </w:num>
  <w:num w:numId="51">
    <w:abstractNumId w:val="87"/>
  </w:num>
  <w:num w:numId="52">
    <w:abstractNumId w:val="7"/>
  </w:num>
  <w:num w:numId="53">
    <w:abstractNumId w:val="26"/>
  </w:num>
  <w:num w:numId="54">
    <w:abstractNumId w:val="123"/>
  </w:num>
  <w:num w:numId="55">
    <w:abstractNumId w:val="169"/>
  </w:num>
  <w:num w:numId="56">
    <w:abstractNumId w:val="36"/>
  </w:num>
  <w:num w:numId="57">
    <w:abstractNumId w:val="148"/>
  </w:num>
  <w:num w:numId="58">
    <w:abstractNumId w:val="35"/>
  </w:num>
  <w:num w:numId="59">
    <w:abstractNumId w:val="187"/>
  </w:num>
  <w:num w:numId="60">
    <w:abstractNumId w:val="63"/>
  </w:num>
  <w:num w:numId="61">
    <w:abstractNumId w:val="78"/>
  </w:num>
  <w:num w:numId="62">
    <w:abstractNumId w:val="129"/>
  </w:num>
  <w:num w:numId="63">
    <w:abstractNumId w:val="172"/>
  </w:num>
  <w:num w:numId="64">
    <w:abstractNumId w:val="120"/>
  </w:num>
  <w:num w:numId="65">
    <w:abstractNumId w:val="182"/>
  </w:num>
  <w:num w:numId="66">
    <w:abstractNumId w:val="2"/>
  </w:num>
  <w:num w:numId="67">
    <w:abstractNumId w:val="61"/>
  </w:num>
  <w:num w:numId="68">
    <w:abstractNumId w:val="162"/>
  </w:num>
  <w:num w:numId="69">
    <w:abstractNumId w:val="108"/>
  </w:num>
  <w:num w:numId="70">
    <w:abstractNumId w:val="145"/>
  </w:num>
  <w:num w:numId="71">
    <w:abstractNumId w:val="42"/>
  </w:num>
  <w:num w:numId="72">
    <w:abstractNumId w:val="22"/>
  </w:num>
  <w:num w:numId="73">
    <w:abstractNumId w:val="82"/>
  </w:num>
  <w:num w:numId="74">
    <w:abstractNumId w:val="94"/>
  </w:num>
  <w:num w:numId="75">
    <w:abstractNumId w:val="75"/>
  </w:num>
  <w:num w:numId="76">
    <w:abstractNumId w:val="146"/>
  </w:num>
  <w:num w:numId="77">
    <w:abstractNumId w:val="73"/>
  </w:num>
  <w:num w:numId="78">
    <w:abstractNumId w:val="50"/>
  </w:num>
  <w:num w:numId="79">
    <w:abstractNumId w:val="122"/>
  </w:num>
  <w:num w:numId="80">
    <w:abstractNumId w:val="12"/>
  </w:num>
  <w:num w:numId="81">
    <w:abstractNumId w:val="178"/>
  </w:num>
  <w:num w:numId="82">
    <w:abstractNumId w:val="10"/>
  </w:num>
  <w:num w:numId="83">
    <w:abstractNumId w:val="11"/>
  </w:num>
  <w:num w:numId="84">
    <w:abstractNumId w:val="134"/>
  </w:num>
  <w:num w:numId="85">
    <w:abstractNumId w:val="107"/>
  </w:num>
  <w:num w:numId="86">
    <w:abstractNumId w:val="69"/>
  </w:num>
  <w:num w:numId="87">
    <w:abstractNumId w:val="3"/>
  </w:num>
  <w:num w:numId="88">
    <w:abstractNumId w:val="131"/>
  </w:num>
  <w:num w:numId="89">
    <w:abstractNumId w:val="45"/>
  </w:num>
  <w:num w:numId="90">
    <w:abstractNumId w:val="184"/>
  </w:num>
  <w:num w:numId="91">
    <w:abstractNumId w:val="13"/>
  </w:num>
  <w:num w:numId="92">
    <w:abstractNumId w:val="121"/>
  </w:num>
  <w:num w:numId="93">
    <w:abstractNumId w:val="144"/>
  </w:num>
  <w:num w:numId="94">
    <w:abstractNumId w:val="192"/>
  </w:num>
  <w:num w:numId="95">
    <w:abstractNumId w:val="6"/>
  </w:num>
  <w:num w:numId="96">
    <w:abstractNumId w:val="153"/>
  </w:num>
  <w:num w:numId="97">
    <w:abstractNumId w:val="158"/>
  </w:num>
  <w:num w:numId="98">
    <w:abstractNumId w:val="142"/>
  </w:num>
  <w:num w:numId="99">
    <w:abstractNumId w:val="102"/>
  </w:num>
  <w:num w:numId="100">
    <w:abstractNumId w:val="140"/>
  </w:num>
  <w:num w:numId="101">
    <w:abstractNumId w:val="193"/>
  </w:num>
  <w:num w:numId="102">
    <w:abstractNumId w:val="117"/>
  </w:num>
  <w:num w:numId="103">
    <w:abstractNumId w:val="130"/>
  </w:num>
  <w:num w:numId="104">
    <w:abstractNumId w:val="68"/>
  </w:num>
  <w:num w:numId="105">
    <w:abstractNumId w:val="62"/>
  </w:num>
  <w:num w:numId="106">
    <w:abstractNumId w:val="80"/>
  </w:num>
  <w:num w:numId="107">
    <w:abstractNumId w:val="125"/>
  </w:num>
  <w:num w:numId="108">
    <w:abstractNumId w:val="96"/>
  </w:num>
  <w:num w:numId="109">
    <w:abstractNumId w:val="85"/>
  </w:num>
  <w:num w:numId="110">
    <w:abstractNumId w:val="183"/>
  </w:num>
  <w:num w:numId="111">
    <w:abstractNumId w:val="31"/>
  </w:num>
  <w:num w:numId="112">
    <w:abstractNumId w:val="71"/>
  </w:num>
  <w:num w:numId="113">
    <w:abstractNumId w:val="19"/>
  </w:num>
  <w:num w:numId="114">
    <w:abstractNumId w:val="143"/>
  </w:num>
  <w:num w:numId="115">
    <w:abstractNumId w:val="101"/>
  </w:num>
  <w:num w:numId="116">
    <w:abstractNumId w:val="1"/>
  </w:num>
  <w:num w:numId="117">
    <w:abstractNumId w:val="188"/>
  </w:num>
  <w:num w:numId="118">
    <w:abstractNumId w:val="86"/>
  </w:num>
  <w:num w:numId="119">
    <w:abstractNumId w:val="98"/>
  </w:num>
  <w:num w:numId="120">
    <w:abstractNumId w:val="51"/>
  </w:num>
  <w:num w:numId="121">
    <w:abstractNumId w:val="49"/>
  </w:num>
  <w:num w:numId="122">
    <w:abstractNumId w:val="56"/>
  </w:num>
  <w:num w:numId="123">
    <w:abstractNumId w:val="161"/>
  </w:num>
  <w:num w:numId="124">
    <w:abstractNumId w:val="139"/>
  </w:num>
  <w:num w:numId="125">
    <w:abstractNumId w:val="137"/>
  </w:num>
  <w:num w:numId="126">
    <w:abstractNumId w:val="167"/>
  </w:num>
  <w:num w:numId="127">
    <w:abstractNumId w:val="66"/>
  </w:num>
  <w:num w:numId="128">
    <w:abstractNumId w:val="128"/>
  </w:num>
  <w:num w:numId="129">
    <w:abstractNumId w:val="55"/>
  </w:num>
  <w:num w:numId="130">
    <w:abstractNumId w:val="155"/>
  </w:num>
  <w:num w:numId="131">
    <w:abstractNumId w:val="9"/>
  </w:num>
  <w:num w:numId="132">
    <w:abstractNumId w:val="0"/>
  </w:num>
  <w:num w:numId="133">
    <w:abstractNumId w:val="92"/>
  </w:num>
  <w:num w:numId="134">
    <w:abstractNumId w:val="44"/>
  </w:num>
  <w:num w:numId="135">
    <w:abstractNumId w:val="93"/>
  </w:num>
  <w:num w:numId="136">
    <w:abstractNumId w:val="136"/>
  </w:num>
  <w:num w:numId="137">
    <w:abstractNumId w:val="190"/>
  </w:num>
  <w:num w:numId="138">
    <w:abstractNumId w:val="179"/>
  </w:num>
  <w:num w:numId="139">
    <w:abstractNumId w:val="15"/>
  </w:num>
  <w:num w:numId="140">
    <w:abstractNumId w:val="164"/>
  </w:num>
  <w:num w:numId="141">
    <w:abstractNumId w:val="28"/>
  </w:num>
  <w:num w:numId="142">
    <w:abstractNumId w:val="124"/>
  </w:num>
  <w:num w:numId="143">
    <w:abstractNumId w:val="150"/>
  </w:num>
  <w:num w:numId="144">
    <w:abstractNumId w:val="170"/>
  </w:num>
  <w:num w:numId="145">
    <w:abstractNumId w:val="195"/>
  </w:num>
  <w:num w:numId="146">
    <w:abstractNumId w:val="38"/>
  </w:num>
  <w:num w:numId="147">
    <w:abstractNumId w:val="177"/>
  </w:num>
  <w:num w:numId="148">
    <w:abstractNumId w:val="53"/>
  </w:num>
  <w:num w:numId="149">
    <w:abstractNumId w:val="52"/>
  </w:num>
  <w:num w:numId="150">
    <w:abstractNumId w:val="133"/>
  </w:num>
  <w:num w:numId="151">
    <w:abstractNumId w:val="67"/>
  </w:num>
  <w:num w:numId="152">
    <w:abstractNumId w:val="72"/>
  </w:num>
  <w:num w:numId="153">
    <w:abstractNumId w:val="166"/>
  </w:num>
  <w:num w:numId="154">
    <w:abstractNumId w:val="194"/>
  </w:num>
  <w:num w:numId="155">
    <w:abstractNumId w:val="191"/>
  </w:num>
  <w:num w:numId="156">
    <w:abstractNumId w:val="46"/>
  </w:num>
  <w:num w:numId="157">
    <w:abstractNumId w:val="83"/>
  </w:num>
  <w:num w:numId="158">
    <w:abstractNumId w:val="104"/>
  </w:num>
  <w:num w:numId="159">
    <w:abstractNumId w:val="176"/>
  </w:num>
  <w:num w:numId="160">
    <w:abstractNumId w:val="18"/>
  </w:num>
  <w:num w:numId="161">
    <w:abstractNumId w:val="118"/>
  </w:num>
  <w:num w:numId="162">
    <w:abstractNumId w:val="60"/>
  </w:num>
  <w:num w:numId="163">
    <w:abstractNumId w:val="119"/>
  </w:num>
  <w:num w:numId="164">
    <w:abstractNumId w:val="4"/>
  </w:num>
  <w:num w:numId="165">
    <w:abstractNumId w:val="135"/>
  </w:num>
  <w:num w:numId="166">
    <w:abstractNumId w:val="149"/>
  </w:num>
  <w:num w:numId="167">
    <w:abstractNumId w:val="29"/>
  </w:num>
  <w:num w:numId="168">
    <w:abstractNumId w:val="175"/>
  </w:num>
  <w:num w:numId="169">
    <w:abstractNumId w:val="141"/>
  </w:num>
  <w:num w:numId="170">
    <w:abstractNumId w:val="47"/>
  </w:num>
  <w:num w:numId="171">
    <w:abstractNumId w:val="24"/>
  </w:num>
  <w:num w:numId="172">
    <w:abstractNumId w:val="186"/>
  </w:num>
  <w:num w:numId="173">
    <w:abstractNumId w:val="48"/>
  </w:num>
  <w:num w:numId="174">
    <w:abstractNumId w:val="97"/>
  </w:num>
  <w:num w:numId="175">
    <w:abstractNumId w:val="173"/>
  </w:num>
  <w:num w:numId="176">
    <w:abstractNumId w:val="151"/>
  </w:num>
  <w:num w:numId="177">
    <w:abstractNumId w:val="76"/>
  </w:num>
  <w:num w:numId="178">
    <w:abstractNumId w:val="106"/>
  </w:num>
  <w:num w:numId="179">
    <w:abstractNumId w:val="74"/>
  </w:num>
  <w:num w:numId="180">
    <w:abstractNumId w:val="189"/>
  </w:num>
  <w:num w:numId="181">
    <w:abstractNumId w:val="100"/>
  </w:num>
  <w:num w:numId="182">
    <w:abstractNumId w:val="20"/>
  </w:num>
  <w:num w:numId="183">
    <w:abstractNumId w:val="109"/>
  </w:num>
  <w:num w:numId="184">
    <w:abstractNumId w:val="163"/>
  </w:num>
  <w:num w:numId="185">
    <w:abstractNumId w:val="89"/>
  </w:num>
  <w:num w:numId="186">
    <w:abstractNumId w:val="79"/>
  </w:num>
  <w:num w:numId="187">
    <w:abstractNumId w:val="113"/>
  </w:num>
  <w:num w:numId="1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12"/>
  </w:num>
  <w:num w:numId="211">
    <w:abstractNumId w:val="27"/>
  </w:num>
  <w:num w:numId="212">
    <w:abstractNumId w:val="110"/>
  </w:num>
  <w:num w:numId="213">
    <w:abstractNumId w:val="116"/>
  </w:num>
  <w:num w:numId="214">
    <w:abstractNumId w:val="37"/>
  </w:num>
  <w:num w:numId="215">
    <w:abstractNumId w:val="39"/>
  </w:num>
  <w:num w:numId="216">
    <w:abstractNumId w:val="8"/>
  </w:num>
  <w:num w:numId="217">
    <w:abstractNumId w:val="16"/>
  </w:num>
  <w:num w:numId="218">
    <w:abstractNumId w:val="114"/>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A8"/>
    <w:rsid w:val="00006C3B"/>
    <w:rsid w:val="00017551"/>
    <w:rsid w:val="000231FE"/>
    <w:rsid w:val="0002785A"/>
    <w:rsid w:val="00032A75"/>
    <w:rsid w:val="00032CD2"/>
    <w:rsid w:val="0003603B"/>
    <w:rsid w:val="0003626E"/>
    <w:rsid w:val="00067A38"/>
    <w:rsid w:val="00070E11"/>
    <w:rsid w:val="00071346"/>
    <w:rsid w:val="00073C34"/>
    <w:rsid w:val="00076552"/>
    <w:rsid w:val="00080034"/>
    <w:rsid w:val="00087C93"/>
    <w:rsid w:val="000935F0"/>
    <w:rsid w:val="0009365C"/>
    <w:rsid w:val="00093B1C"/>
    <w:rsid w:val="000A6DA4"/>
    <w:rsid w:val="000B1FF1"/>
    <w:rsid w:val="000B2C90"/>
    <w:rsid w:val="000D106B"/>
    <w:rsid w:val="000D3CC4"/>
    <w:rsid w:val="000E2834"/>
    <w:rsid w:val="00106BEA"/>
    <w:rsid w:val="00113120"/>
    <w:rsid w:val="001167A8"/>
    <w:rsid w:val="00116D76"/>
    <w:rsid w:val="00120C33"/>
    <w:rsid w:val="0012147B"/>
    <w:rsid w:val="00124D27"/>
    <w:rsid w:val="00127A2D"/>
    <w:rsid w:val="00136F45"/>
    <w:rsid w:val="00141B7F"/>
    <w:rsid w:val="00144B23"/>
    <w:rsid w:val="00151158"/>
    <w:rsid w:val="0017159D"/>
    <w:rsid w:val="00173FDD"/>
    <w:rsid w:val="00194BEE"/>
    <w:rsid w:val="00196C78"/>
    <w:rsid w:val="001A1640"/>
    <w:rsid w:val="001A4359"/>
    <w:rsid w:val="001A5DCD"/>
    <w:rsid w:val="001D28B4"/>
    <w:rsid w:val="001D3811"/>
    <w:rsid w:val="001E0162"/>
    <w:rsid w:val="001E6AD4"/>
    <w:rsid w:val="001F2ECD"/>
    <w:rsid w:val="001F5226"/>
    <w:rsid w:val="001F526B"/>
    <w:rsid w:val="002104B8"/>
    <w:rsid w:val="00216245"/>
    <w:rsid w:val="002175D0"/>
    <w:rsid w:val="002177B1"/>
    <w:rsid w:val="00222ED3"/>
    <w:rsid w:val="00230626"/>
    <w:rsid w:val="002325A1"/>
    <w:rsid w:val="0024341E"/>
    <w:rsid w:val="0024684E"/>
    <w:rsid w:val="0024710E"/>
    <w:rsid w:val="0027052C"/>
    <w:rsid w:val="00274D01"/>
    <w:rsid w:val="00276061"/>
    <w:rsid w:val="002823DB"/>
    <w:rsid w:val="002A5C97"/>
    <w:rsid w:val="002A62F7"/>
    <w:rsid w:val="002B7177"/>
    <w:rsid w:val="002C0C9D"/>
    <w:rsid w:val="002C1457"/>
    <w:rsid w:val="002C736A"/>
    <w:rsid w:val="002E15F1"/>
    <w:rsid w:val="002E3184"/>
    <w:rsid w:val="002E5AC9"/>
    <w:rsid w:val="002E6A59"/>
    <w:rsid w:val="002F13F4"/>
    <w:rsid w:val="002F2A24"/>
    <w:rsid w:val="002F4A99"/>
    <w:rsid w:val="003116B0"/>
    <w:rsid w:val="00314BC0"/>
    <w:rsid w:val="00314DAA"/>
    <w:rsid w:val="00317934"/>
    <w:rsid w:val="003243F4"/>
    <w:rsid w:val="00327D25"/>
    <w:rsid w:val="00334ADD"/>
    <w:rsid w:val="00335627"/>
    <w:rsid w:val="00337C31"/>
    <w:rsid w:val="00341AB0"/>
    <w:rsid w:val="00357544"/>
    <w:rsid w:val="003611D0"/>
    <w:rsid w:val="003658AF"/>
    <w:rsid w:val="00371B75"/>
    <w:rsid w:val="00376813"/>
    <w:rsid w:val="00395E28"/>
    <w:rsid w:val="00397125"/>
    <w:rsid w:val="003B30A2"/>
    <w:rsid w:val="003B4C36"/>
    <w:rsid w:val="003C5356"/>
    <w:rsid w:val="003C6319"/>
    <w:rsid w:val="003D146E"/>
    <w:rsid w:val="003E6B76"/>
    <w:rsid w:val="003F76E5"/>
    <w:rsid w:val="004135E9"/>
    <w:rsid w:val="0041472B"/>
    <w:rsid w:val="004216E8"/>
    <w:rsid w:val="00427620"/>
    <w:rsid w:val="00434BA9"/>
    <w:rsid w:val="00436054"/>
    <w:rsid w:val="00460FCA"/>
    <w:rsid w:val="00474C70"/>
    <w:rsid w:val="004818F0"/>
    <w:rsid w:val="004836CC"/>
    <w:rsid w:val="00485814"/>
    <w:rsid w:val="004A05D7"/>
    <w:rsid w:val="004A0E1F"/>
    <w:rsid w:val="004B3B0C"/>
    <w:rsid w:val="004C0591"/>
    <w:rsid w:val="004D1CF3"/>
    <w:rsid w:val="004D40EA"/>
    <w:rsid w:val="004E099D"/>
    <w:rsid w:val="004E1F6F"/>
    <w:rsid w:val="004E385A"/>
    <w:rsid w:val="004F5307"/>
    <w:rsid w:val="00502021"/>
    <w:rsid w:val="0052364D"/>
    <w:rsid w:val="00531290"/>
    <w:rsid w:val="00532A6E"/>
    <w:rsid w:val="005330CA"/>
    <w:rsid w:val="00541C39"/>
    <w:rsid w:val="00543B08"/>
    <w:rsid w:val="00550811"/>
    <w:rsid w:val="00554F86"/>
    <w:rsid w:val="005566AB"/>
    <w:rsid w:val="00557615"/>
    <w:rsid w:val="00557B7E"/>
    <w:rsid w:val="005638EC"/>
    <w:rsid w:val="00565BC7"/>
    <w:rsid w:val="00591E6F"/>
    <w:rsid w:val="00596BEB"/>
    <w:rsid w:val="005A5270"/>
    <w:rsid w:val="005C36EC"/>
    <w:rsid w:val="005C38F1"/>
    <w:rsid w:val="005C6424"/>
    <w:rsid w:val="005D5E2A"/>
    <w:rsid w:val="005E0A83"/>
    <w:rsid w:val="005E41D9"/>
    <w:rsid w:val="005E6F9E"/>
    <w:rsid w:val="0061396E"/>
    <w:rsid w:val="0061578B"/>
    <w:rsid w:val="00643F23"/>
    <w:rsid w:val="00651EB2"/>
    <w:rsid w:val="006537F9"/>
    <w:rsid w:val="006821A1"/>
    <w:rsid w:val="006865F7"/>
    <w:rsid w:val="006920FD"/>
    <w:rsid w:val="006930AA"/>
    <w:rsid w:val="006A37EC"/>
    <w:rsid w:val="006A5663"/>
    <w:rsid w:val="006A6A87"/>
    <w:rsid w:val="006B4B01"/>
    <w:rsid w:val="006C05C4"/>
    <w:rsid w:val="006C7CCA"/>
    <w:rsid w:val="006D5A1E"/>
    <w:rsid w:val="006E043B"/>
    <w:rsid w:val="006E12BC"/>
    <w:rsid w:val="006E3D8D"/>
    <w:rsid w:val="006E5C9C"/>
    <w:rsid w:val="006F2ECF"/>
    <w:rsid w:val="00701354"/>
    <w:rsid w:val="007016CD"/>
    <w:rsid w:val="007106F7"/>
    <w:rsid w:val="0071357E"/>
    <w:rsid w:val="00722DF8"/>
    <w:rsid w:val="0072395F"/>
    <w:rsid w:val="007268DF"/>
    <w:rsid w:val="00731961"/>
    <w:rsid w:val="00732833"/>
    <w:rsid w:val="0073330A"/>
    <w:rsid w:val="0073434C"/>
    <w:rsid w:val="00735FF8"/>
    <w:rsid w:val="00740CCF"/>
    <w:rsid w:val="00745BCF"/>
    <w:rsid w:val="00745DC1"/>
    <w:rsid w:val="0076061C"/>
    <w:rsid w:val="00764441"/>
    <w:rsid w:val="007648E4"/>
    <w:rsid w:val="007667A1"/>
    <w:rsid w:val="0076693A"/>
    <w:rsid w:val="00777BB8"/>
    <w:rsid w:val="00787CC6"/>
    <w:rsid w:val="00793765"/>
    <w:rsid w:val="007A4272"/>
    <w:rsid w:val="007A6795"/>
    <w:rsid w:val="007A7B8A"/>
    <w:rsid w:val="007B15AC"/>
    <w:rsid w:val="007E3304"/>
    <w:rsid w:val="007E3659"/>
    <w:rsid w:val="007E6349"/>
    <w:rsid w:val="007F0F4A"/>
    <w:rsid w:val="007F1D90"/>
    <w:rsid w:val="007F7D21"/>
    <w:rsid w:val="00800331"/>
    <w:rsid w:val="00803741"/>
    <w:rsid w:val="00803A89"/>
    <w:rsid w:val="0080519D"/>
    <w:rsid w:val="00820471"/>
    <w:rsid w:val="00825BAF"/>
    <w:rsid w:val="0082626F"/>
    <w:rsid w:val="008318CA"/>
    <w:rsid w:val="00842992"/>
    <w:rsid w:val="008503A1"/>
    <w:rsid w:val="0085324B"/>
    <w:rsid w:val="00854998"/>
    <w:rsid w:val="00865FB6"/>
    <w:rsid w:val="00867C39"/>
    <w:rsid w:val="0087250D"/>
    <w:rsid w:val="0087312C"/>
    <w:rsid w:val="00887F85"/>
    <w:rsid w:val="00891D19"/>
    <w:rsid w:val="0089477A"/>
    <w:rsid w:val="008B6E47"/>
    <w:rsid w:val="008B7566"/>
    <w:rsid w:val="008C0D71"/>
    <w:rsid w:val="008C477F"/>
    <w:rsid w:val="008E738F"/>
    <w:rsid w:val="008F7657"/>
    <w:rsid w:val="0090506F"/>
    <w:rsid w:val="0091293B"/>
    <w:rsid w:val="009141FD"/>
    <w:rsid w:val="009144B7"/>
    <w:rsid w:val="00916320"/>
    <w:rsid w:val="00930482"/>
    <w:rsid w:val="00930B6B"/>
    <w:rsid w:val="0094136D"/>
    <w:rsid w:val="00945D4C"/>
    <w:rsid w:val="0094634B"/>
    <w:rsid w:val="00946FE5"/>
    <w:rsid w:val="00947063"/>
    <w:rsid w:val="00947647"/>
    <w:rsid w:val="00953A7E"/>
    <w:rsid w:val="00954B65"/>
    <w:rsid w:val="00960A69"/>
    <w:rsid w:val="00962104"/>
    <w:rsid w:val="0096466B"/>
    <w:rsid w:val="00971F3D"/>
    <w:rsid w:val="009753DC"/>
    <w:rsid w:val="009758B9"/>
    <w:rsid w:val="00976FD5"/>
    <w:rsid w:val="009817C3"/>
    <w:rsid w:val="00985091"/>
    <w:rsid w:val="009866A7"/>
    <w:rsid w:val="00990116"/>
    <w:rsid w:val="00992D19"/>
    <w:rsid w:val="009A4CFA"/>
    <w:rsid w:val="009B668A"/>
    <w:rsid w:val="009C610B"/>
    <w:rsid w:val="009D1411"/>
    <w:rsid w:val="009D3396"/>
    <w:rsid w:val="009D3F6B"/>
    <w:rsid w:val="009E0FA9"/>
    <w:rsid w:val="009E32AE"/>
    <w:rsid w:val="009E681D"/>
    <w:rsid w:val="009F12E0"/>
    <w:rsid w:val="00A11F95"/>
    <w:rsid w:val="00A12061"/>
    <w:rsid w:val="00A1372D"/>
    <w:rsid w:val="00A15BDF"/>
    <w:rsid w:val="00A22085"/>
    <w:rsid w:val="00A224A6"/>
    <w:rsid w:val="00A22876"/>
    <w:rsid w:val="00A45EB1"/>
    <w:rsid w:val="00A46A99"/>
    <w:rsid w:val="00A515CE"/>
    <w:rsid w:val="00A61A0C"/>
    <w:rsid w:val="00A61BF4"/>
    <w:rsid w:val="00A65133"/>
    <w:rsid w:val="00A72674"/>
    <w:rsid w:val="00A82D75"/>
    <w:rsid w:val="00A9180D"/>
    <w:rsid w:val="00A95154"/>
    <w:rsid w:val="00A954D8"/>
    <w:rsid w:val="00AA54CC"/>
    <w:rsid w:val="00AD03DE"/>
    <w:rsid w:val="00AD16F0"/>
    <w:rsid w:val="00AD25F3"/>
    <w:rsid w:val="00AE36FE"/>
    <w:rsid w:val="00AF1F09"/>
    <w:rsid w:val="00AF6410"/>
    <w:rsid w:val="00B0116D"/>
    <w:rsid w:val="00B046EE"/>
    <w:rsid w:val="00B125AF"/>
    <w:rsid w:val="00B25992"/>
    <w:rsid w:val="00B2707E"/>
    <w:rsid w:val="00B301E1"/>
    <w:rsid w:val="00B449D7"/>
    <w:rsid w:val="00B473C1"/>
    <w:rsid w:val="00B54779"/>
    <w:rsid w:val="00B55C31"/>
    <w:rsid w:val="00B614CB"/>
    <w:rsid w:val="00B6662C"/>
    <w:rsid w:val="00B77069"/>
    <w:rsid w:val="00B81AAF"/>
    <w:rsid w:val="00B846F8"/>
    <w:rsid w:val="00BA2950"/>
    <w:rsid w:val="00BC3588"/>
    <w:rsid w:val="00BC385F"/>
    <w:rsid w:val="00BC5F5F"/>
    <w:rsid w:val="00BD04CA"/>
    <w:rsid w:val="00BD43A2"/>
    <w:rsid w:val="00BE29E7"/>
    <w:rsid w:val="00BE4714"/>
    <w:rsid w:val="00BE4C65"/>
    <w:rsid w:val="00BE77A1"/>
    <w:rsid w:val="00BF0EE8"/>
    <w:rsid w:val="00C16EED"/>
    <w:rsid w:val="00C31DB5"/>
    <w:rsid w:val="00C33589"/>
    <w:rsid w:val="00C34127"/>
    <w:rsid w:val="00C358CE"/>
    <w:rsid w:val="00C370BC"/>
    <w:rsid w:val="00C37A79"/>
    <w:rsid w:val="00C42D86"/>
    <w:rsid w:val="00C537C4"/>
    <w:rsid w:val="00C53D64"/>
    <w:rsid w:val="00C60A9C"/>
    <w:rsid w:val="00C82A09"/>
    <w:rsid w:val="00C9456F"/>
    <w:rsid w:val="00C95606"/>
    <w:rsid w:val="00CA0A0C"/>
    <w:rsid w:val="00CA202D"/>
    <w:rsid w:val="00CA3BD5"/>
    <w:rsid w:val="00CA42BD"/>
    <w:rsid w:val="00CB1045"/>
    <w:rsid w:val="00CC1433"/>
    <w:rsid w:val="00CC34D4"/>
    <w:rsid w:val="00CC5894"/>
    <w:rsid w:val="00CC77CA"/>
    <w:rsid w:val="00CD5D36"/>
    <w:rsid w:val="00CD6DD9"/>
    <w:rsid w:val="00CE1887"/>
    <w:rsid w:val="00CE3A3F"/>
    <w:rsid w:val="00CE4F76"/>
    <w:rsid w:val="00CF1CCA"/>
    <w:rsid w:val="00D0026E"/>
    <w:rsid w:val="00D145D1"/>
    <w:rsid w:val="00D17353"/>
    <w:rsid w:val="00D25027"/>
    <w:rsid w:val="00D36A42"/>
    <w:rsid w:val="00D37D07"/>
    <w:rsid w:val="00D56CEA"/>
    <w:rsid w:val="00D56F2A"/>
    <w:rsid w:val="00D603B5"/>
    <w:rsid w:val="00D71AF6"/>
    <w:rsid w:val="00D73BC0"/>
    <w:rsid w:val="00D8139D"/>
    <w:rsid w:val="00D82973"/>
    <w:rsid w:val="00D8442E"/>
    <w:rsid w:val="00D855AF"/>
    <w:rsid w:val="00D85A5B"/>
    <w:rsid w:val="00D871F9"/>
    <w:rsid w:val="00D90311"/>
    <w:rsid w:val="00D93949"/>
    <w:rsid w:val="00D97AC3"/>
    <w:rsid w:val="00DA1745"/>
    <w:rsid w:val="00DB1ECE"/>
    <w:rsid w:val="00DB5C39"/>
    <w:rsid w:val="00DB7539"/>
    <w:rsid w:val="00DC1403"/>
    <w:rsid w:val="00DC5B1F"/>
    <w:rsid w:val="00DD45EC"/>
    <w:rsid w:val="00DD54B0"/>
    <w:rsid w:val="00DD62EE"/>
    <w:rsid w:val="00DD7ED8"/>
    <w:rsid w:val="00DE1813"/>
    <w:rsid w:val="00E000E8"/>
    <w:rsid w:val="00E15ED5"/>
    <w:rsid w:val="00E177EC"/>
    <w:rsid w:val="00E22070"/>
    <w:rsid w:val="00E24F78"/>
    <w:rsid w:val="00E42675"/>
    <w:rsid w:val="00E44A5A"/>
    <w:rsid w:val="00E47FC7"/>
    <w:rsid w:val="00E70DB3"/>
    <w:rsid w:val="00E72D67"/>
    <w:rsid w:val="00E74517"/>
    <w:rsid w:val="00E75C41"/>
    <w:rsid w:val="00EA2308"/>
    <w:rsid w:val="00EA2B94"/>
    <w:rsid w:val="00EA34C0"/>
    <w:rsid w:val="00EA42F1"/>
    <w:rsid w:val="00EC143E"/>
    <w:rsid w:val="00EC1445"/>
    <w:rsid w:val="00ED4312"/>
    <w:rsid w:val="00ED5B56"/>
    <w:rsid w:val="00EE01F0"/>
    <w:rsid w:val="00EE7EDD"/>
    <w:rsid w:val="00EF1322"/>
    <w:rsid w:val="00EF3F0C"/>
    <w:rsid w:val="00F01784"/>
    <w:rsid w:val="00F148B2"/>
    <w:rsid w:val="00F1688C"/>
    <w:rsid w:val="00F1742D"/>
    <w:rsid w:val="00F21FD8"/>
    <w:rsid w:val="00F27577"/>
    <w:rsid w:val="00F303E2"/>
    <w:rsid w:val="00F324DE"/>
    <w:rsid w:val="00F43093"/>
    <w:rsid w:val="00F45270"/>
    <w:rsid w:val="00F640B5"/>
    <w:rsid w:val="00F651B8"/>
    <w:rsid w:val="00F74042"/>
    <w:rsid w:val="00F7405B"/>
    <w:rsid w:val="00F80BBD"/>
    <w:rsid w:val="00F80C3F"/>
    <w:rsid w:val="00F84D7F"/>
    <w:rsid w:val="00F85311"/>
    <w:rsid w:val="00F8662F"/>
    <w:rsid w:val="00FA1F1F"/>
    <w:rsid w:val="00FB0D57"/>
    <w:rsid w:val="00FB4222"/>
    <w:rsid w:val="00FB4A51"/>
    <w:rsid w:val="00FC074C"/>
    <w:rsid w:val="00FC2A10"/>
    <w:rsid w:val="00FD2C89"/>
    <w:rsid w:val="00FD4D38"/>
    <w:rsid w:val="00FD588E"/>
    <w:rsid w:val="00FE4C38"/>
    <w:rsid w:val="00FE7086"/>
    <w:rsid w:val="00FF25C9"/>
    <w:rsid w:val="00FF479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03D6E"/>
  <w15:chartTrackingRefBased/>
  <w15:docId w15:val="{30260F00-1306-40B2-95FB-96CFA27E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B449D7"/>
    <w:pPr>
      <w:spacing w:before="161" w:after="161" w:line="240" w:lineRule="auto"/>
      <w:outlineLvl w:val="0"/>
    </w:pPr>
    <w:rPr>
      <w:rFonts w:asciiTheme="majorHAnsi" w:eastAsia="Times New Roman" w:hAnsiTheme="majorHAnsi" w:cs="Times New Roman"/>
      <w:b/>
      <w:bCs/>
      <w:color w:val="323E4F" w:themeColor="text2" w:themeShade="BF"/>
      <w:kern w:val="36"/>
      <w:sz w:val="48"/>
      <w:szCs w:val="48"/>
      <w:lang w:eastAsia="en-AU"/>
    </w:rPr>
  </w:style>
  <w:style w:type="paragraph" w:styleId="Heading2">
    <w:name w:val="heading 2"/>
    <w:basedOn w:val="Normal"/>
    <w:next w:val="Normal"/>
    <w:link w:val="Heading2Char"/>
    <w:autoRedefine/>
    <w:uiPriority w:val="9"/>
    <w:unhideWhenUsed/>
    <w:qFormat/>
    <w:rsid w:val="00842992"/>
    <w:pPr>
      <w:keepNext/>
      <w:keepLines/>
      <w:spacing w:before="40" w:after="0"/>
      <w:outlineLvl w:val="1"/>
    </w:pPr>
    <w:rPr>
      <w:rFonts w:asciiTheme="majorHAnsi" w:eastAsia="Times New Roman" w:hAnsiTheme="majorHAnsi" w:cstheme="majorBidi"/>
      <w:b/>
      <w:color w:val="2F5496" w:themeColor="accent1" w:themeShade="BF"/>
      <w:sz w:val="36"/>
      <w:szCs w:val="26"/>
      <w:lang w:val="en" w:eastAsia="en-AU"/>
    </w:rPr>
  </w:style>
  <w:style w:type="paragraph" w:styleId="Heading3">
    <w:name w:val="heading 3"/>
    <w:basedOn w:val="Normal"/>
    <w:next w:val="Normal"/>
    <w:link w:val="Heading3Char"/>
    <w:uiPriority w:val="9"/>
    <w:semiHidden/>
    <w:unhideWhenUsed/>
    <w:qFormat/>
    <w:rsid w:val="00EA3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34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D7"/>
    <w:rPr>
      <w:rFonts w:asciiTheme="majorHAnsi" w:eastAsia="Times New Roman" w:hAnsiTheme="majorHAnsi" w:cs="Times New Roman"/>
      <w:b/>
      <w:bCs/>
      <w:color w:val="323E4F" w:themeColor="text2" w:themeShade="BF"/>
      <w:kern w:val="36"/>
      <w:sz w:val="48"/>
      <w:szCs w:val="48"/>
      <w:lang w:eastAsia="en-AU"/>
    </w:rPr>
  </w:style>
  <w:style w:type="character" w:customStyle="1" w:styleId="Heading2Char">
    <w:name w:val="Heading 2 Char"/>
    <w:basedOn w:val="DefaultParagraphFont"/>
    <w:link w:val="Heading2"/>
    <w:uiPriority w:val="9"/>
    <w:rsid w:val="00842992"/>
    <w:rPr>
      <w:rFonts w:asciiTheme="majorHAnsi" w:eastAsia="Times New Roman" w:hAnsiTheme="majorHAnsi" w:cstheme="majorBidi"/>
      <w:b/>
      <w:color w:val="2F5496" w:themeColor="accent1" w:themeShade="BF"/>
      <w:sz w:val="36"/>
      <w:szCs w:val="26"/>
      <w:lang w:val="en" w:eastAsia="en-AU"/>
    </w:rPr>
  </w:style>
  <w:style w:type="character" w:customStyle="1" w:styleId="Heading3Char">
    <w:name w:val="Heading 3 Char"/>
    <w:basedOn w:val="DefaultParagraphFont"/>
    <w:link w:val="Heading3"/>
    <w:uiPriority w:val="9"/>
    <w:semiHidden/>
    <w:rsid w:val="00EA34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A34C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E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9"/>
    <w:rPr>
      <w:rFonts w:ascii="Segoe UI" w:hAnsi="Segoe UI" w:cs="Segoe UI"/>
      <w:sz w:val="18"/>
      <w:szCs w:val="18"/>
    </w:rPr>
  </w:style>
  <w:style w:type="character" w:styleId="CommentReference">
    <w:name w:val="annotation reference"/>
    <w:basedOn w:val="DefaultParagraphFont"/>
    <w:uiPriority w:val="99"/>
    <w:unhideWhenUsed/>
    <w:rsid w:val="005E41D9"/>
    <w:rPr>
      <w:sz w:val="16"/>
      <w:szCs w:val="16"/>
    </w:rPr>
  </w:style>
  <w:style w:type="paragraph" w:styleId="CommentText">
    <w:name w:val="annotation text"/>
    <w:basedOn w:val="Normal"/>
    <w:link w:val="CommentTextChar"/>
    <w:uiPriority w:val="99"/>
    <w:unhideWhenUsed/>
    <w:rsid w:val="005E41D9"/>
    <w:pPr>
      <w:spacing w:line="240" w:lineRule="auto"/>
    </w:pPr>
    <w:rPr>
      <w:sz w:val="20"/>
      <w:szCs w:val="20"/>
    </w:rPr>
  </w:style>
  <w:style w:type="character" w:customStyle="1" w:styleId="CommentTextChar">
    <w:name w:val="Comment Text Char"/>
    <w:basedOn w:val="DefaultParagraphFont"/>
    <w:link w:val="CommentText"/>
    <w:uiPriority w:val="99"/>
    <w:rsid w:val="005E41D9"/>
    <w:rPr>
      <w:sz w:val="20"/>
      <w:szCs w:val="20"/>
    </w:rPr>
  </w:style>
  <w:style w:type="paragraph" w:styleId="ListParagraph">
    <w:name w:val="List Paragraph"/>
    <w:basedOn w:val="Normal"/>
    <w:uiPriority w:val="34"/>
    <w:qFormat/>
    <w:rsid w:val="005E41D9"/>
    <w:pPr>
      <w:ind w:left="720"/>
      <w:contextualSpacing/>
    </w:pPr>
  </w:style>
  <w:style w:type="paragraph" w:styleId="CommentSubject">
    <w:name w:val="annotation subject"/>
    <w:basedOn w:val="CommentText"/>
    <w:next w:val="CommentText"/>
    <w:link w:val="CommentSubjectChar"/>
    <w:uiPriority w:val="99"/>
    <w:semiHidden/>
    <w:unhideWhenUsed/>
    <w:rsid w:val="005E41D9"/>
    <w:rPr>
      <w:b/>
      <w:bCs/>
    </w:rPr>
  </w:style>
  <w:style w:type="character" w:customStyle="1" w:styleId="CommentSubjectChar">
    <w:name w:val="Comment Subject Char"/>
    <w:basedOn w:val="CommentTextChar"/>
    <w:link w:val="CommentSubject"/>
    <w:uiPriority w:val="99"/>
    <w:semiHidden/>
    <w:rsid w:val="005E41D9"/>
    <w:rPr>
      <w:b/>
      <w:bCs/>
      <w:sz w:val="20"/>
      <w:szCs w:val="20"/>
    </w:rPr>
  </w:style>
  <w:style w:type="paragraph" w:styleId="NoSpacing">
    <w:name w:val="No Spacing"/>
    <w:link w:val="NoSpacingChar"/>
    <w:uiPriority w:val="1"/>
    <w:qFormat/>
    <w:rsid w:val="004E1F6F"/>
    <w:pPr>
      <w:spacing w:after="0" w:line="240" w:lineRule="auto"/>
    </w:pPr>
  </w:style>
  <w:style w:type="character" w:styleId="IntenseReference">
    <w:name w:val="Intense Reference"/>
    <w:basedOn w:val="DefaultParagraphFont"/>
    <w:uiPriority w:val="32"/>
    <w:qFormat/>
    <w:rsid w:val="00116D76"/>
    <w:rPr>
      <w:b/>
      <w:bCs/>
      <w:smallCaps/>
      <w:color w:val="4472C4" w:themeColor="accent1"/>
      <w:spacing w:val="5"/>
    </w:rPr>
  </w:style>
  <w:style w:type="paragraph" w:styleId="Title">
    <w:name w:val="Title"/>
    <w:basedOn w:val="Normal"/>
    <w:next w:val="Normal"/>
    <w:link w:val="TitleChar"/>
    <w:uiPriority w:val="10"/>
    <w:qFormat/>
    <w:rsid w:val="00116D7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16D76"/>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76693A"/>
    <w:rPr>
      <w:color w:val="0563C1" w:themeColor="hyperlink"/>
      <w:u w:val="single"/>
    </w:rPr>
  </w:style>
  <w:style w:type="paragraph" w:styleId="NormalWeb">
    <w:name w:val="Normal (Web)"/>
    <w:basedOn w:val="Normal"/>
    <w:uiPriority w:val="99"/>
    <w:unhideWhenUsed/>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publication-menuitem">
    <w:name w:val="det-publication-menu__item"/>
    <w:basedOn w:val="Normal"/>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linkinner1">
    <w:name w:val="rpl-link__inner1"/>
    <w:basedOn w:val="DefaultParagraphFont"/>
    <w:rsid w:val="00ED4312"/>
    <w:rPr>
      <w:vanish w:val="0"/>
      <w:webHidden w:val="0"/>
      <w:specVanish w:val="0"/>
    </w:rPr>
  </w:style>
  <w:style w:type="character" w:customStyle="1" w:styleId="det-publication-menuitem-link-text">
    <w:name w:val="det-publication-menu__item-link-text"/>
    <w:basedOn w:val="DefaultParagraphFont"/>
    <w:rsid w:val="00ED4312"/>
  </w:style>
  <w:style w:type="character" w:customStyle="1" w:styleId="det-chapters-title">
    <w:name w:val="det-chapters-title"/>
    <w:basedOn w:val="DefaultParagraphFont"/>
    <w:rsid w:val="00ED4312"/>
  </w:style>
  <w:style w:type="character" w:customStyle="1" w:styleId="rpl-text-label2">
    <w:name w:val="rpl-text-label2"/>
    <w:basedOn w:val="DefaultParagraphFont"/>
    <w:rsid w:val="00ED4312"/>
    <w:rPr>
      <w:strike w:val="0"/>
      <w:dstrike w:val="0"/>
      <w:color w:val="011A3C"/>
      <w:u w:val="none"/>
      <w:effect w:val="none"/>
    </w:rPr>
  </w:style>
  <w:style w:type="character" w:styleId="Strong">
    <w:name w:val="Strong"/>
    <w:basedOn w:val="DefaultParagraphFont"/>
    <w:uiPriority w:val="22"/>
    <w:qFormat/>
    <w:rsid w:val="00ED4312"/>
    <w:rPr>
      <w:b/>
      <w:bCs/>
    </w:rPr>
  </w:style>
  <w:style w:type="character" w:customStyle="1" w:styleId="rpl-text-icongroup1">
    <w:name w:val="rpl-text-icon__group1"/>
    <w:basedOn w:val="DefaultParagraphFont"/>
    <w:rsid w:val="00ED4312"/>
  </w:style>
  <w:style w:type="paragraph" w:styleId="TOCHeading">
    <w:name w:val="TOC Heading"/>
    <w:basedOn w:val="Heading1"/>
    <w:next w:val="Normal"/>
    <w:uiPriority w:val="39"/>
    <w:unhideWhenUsed/>
    <w:qFormat/>
    <w:rsid w:val="00BE4C65"/>
    <w:pPr>
      <w:keepNext/>
      <w:keepLines/>
      <w:spacing w:before="240" w:after="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E4C65"/>
    <w:pPr>
      <w:spacing w:after="100"/>
    </w:pPr>
  </w:style>
  <w:style w:type="paragraph" w:styleId="TOC2">
    <w:name w:val="toc 2"/>
    <w:basedOn w:val="Normal"/>
    <w:next w:val="Normal"/>
    <w:autoRedefine/>
    <w:uiPriority w:val="39"/>
    <w:unhideWhenUsed/>
    <w:rsid w:val="001D28B4"/>
    <w:pPr>
      <w:tabs>
        <w:tab w:val="right" w:leader="dot" w:pos="9016"/>
      </w:tabs>
      <w:spacing w:after="100"/>
      <w:ind w:left="220"/>
    </w:pPr>
  </w:style>
  <w:style w:type="paragraph" w:styleId="TOC3">
    <w:name w:val="toc 3"/>
    <w:basedOn w:val="Normal"/>
    <w:next w:val="Normal"/>
    <w:autoRedefine/>
    <w:uiPriority w:val="39"/>
    <w:unhideWhenUsed/>
    <w:rsid w:val="00BE4C65"/>
    <w:pPr>
      <w:spacing w:after="100"/>
      <w:ind w:left="440"/>
    </w:pPr>
  </w:style>
  <w:style w:type="character" w:customStyle="1" w:styleId="NoSpacingChar">
    <w:name w:val="No Spacing Char"/>
    <w:basedOn w:val="DefaultParagraphFont"/>
    <w:link w:val="NoSpacing"/>
    <w:uiPriority w:val="1"/>
    <w:rsid w:val="00777BB8"/>
  </w:style>
  <w:style w:type="paragraph" w:styleId="Subtitle">
    <w:name w:val="Subtitle"/>
    <w:basedOn w:val="Normal"/>
    <w:next w:val="Normal"/>
    <w:link w:val="SubtitleChar"/>
    <w:uiPriority w:val="11"/>
    <w:qFormat/>
    <w:rsid w:val="006920F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920FD"/>
    <w:rPr>
      <w:rFonts w:eastAsiaTheme="minorEastAsia" w:cs="Times New Roman"/>
      <w:color w:val="5A5A5A" w:themeColor="text1" w:themeTint="A5"/>
      <w:spacing w:val="15"/>
      <w:lang w:val="en-US"/>
    </w:rPr>
  </w:style>
  <w:style w:type="paragraph" w:styleId="Revision">
    <w:name w:val="Revision"/>
    <w:hidden/>
    <w:uiPriority w:val="99"/>
    <w:semiHidden/>
    <w:rsid w:val="006C7CCA"/>
    <w:pPr>
      <w:spacing w:after="0" w:line="240" w:lineRule="auto"/>
    </w:pPr>
  </w:style>
  <w:style w:type="character" w:styleId="UnresolvedMention">
    <w:name w:val="Unresolved Mention"/>
    <w:basedOn w:val="DefaultParagraphFont"/>
    <w:uiPriority w:val="99"/>
    <w:semiHidden/>
    <w:unhideWhenUsed/>
    <w:rsid w:val="007F1D90"/>
    <w:rPr>
      <w:color w:val="605E5C"/>
      <w:shd w:val="clear" w:color="auto" w:fill="E1DFDD"/>
    </w:rPr>
  </w:style>
  <w:style w:type="paragraph" w:styleId="Header">
    <w:name w:val="header"/>
    <w:basedOn w:val="Normal"/>
    <w:link w:val="HeaderChar"/>
    <w:uiPriority w:val="99"/>
    <w:unhideWhenUsed/>
    <w:rsid w:val="0019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C78"/>
  </w:style>
  <w:style w:type="paragraph" w:styleId="Footer">
    <w:name w:val="footer"/>
    <w:basedOn w:val="Normal"/>
    <w:link w:val="FooterChar"/>
    <w:uiPriority w:val="99"/>
    <w:unhideWhenUsed/>
    <w:rsid w:val="0019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C78"/>
  </w:style>
  <w:style w:type="character" w:styleId="FollowedHyperlink">
    <w:name w:val="FollowedHyperlink"/>
    <w:basedOn w:val="DefaultParagraphFont"/>
    <w:uiPriority w:val="99"/>
    <w:semiHidden/>
    <w:unhideWhenUsed/>
    <w:rsid w:val="00740C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2503">
      <w:bodyDiv w:val="1"/>
      <w:marLeft w:val="0"/>
      <w:marRight w:val="0"/>
      <w:marTop w:val="0"/>
      <w:marBottom w:val="0"/>
      <w:divBdr>
        <w:top w:val="none" w:sz="0" w:space="0" w:color="auto"/>
        <w:left w:val="none" w:sz="0" w:space="0" w:color="auto"/>
        <w:bottom w:val="none" w:sz="0" w:space="0" w:color="auto"/>
        <w:right w:val="none" w:sz="0" w:space="0" w:color="auto"/>
      </w:divBdr>
      <w:divsChild>
        <w:div w:id="1479569166">
          <w:marLeft w:val="0"/>
          <w:marRight w:val="0"/>
          <w:marTop w:val="0"/>
          <w:marBottom w:val="0"/>
          <w:divBdr>
            <w:top w:val="none" w:sz="0" w:space="0" w:color="auto"/>
            <w:left w:val="none" w:sz="0" w:space="0" w:color="auto"/>
            <w:bottom w:val="none" w:sz="0" w:space="0" w:color="auto"/>
            <w:right w:val="none" w:sz="0" w:space="0" w:color="auto"/>
          </w:divBdr>
          <w:divsChild>
            <w:div w:id="1490829168">
              <w:marLeft w:val="0"/>
              <w:marRight w:val="0"/>
              <w:marTop w:val="0"/>
              <w:marBottom w:val="0"/>
              <w:divBdr>
                <w:top w:val="none" w:sz="0" w:space="0" w:color="auto"/>
                <w:left w:val="none" w:sz="0" w:space="0" w:color="auto"/>
                <w:bottom w:val="none" w:sz="0" w:space="0" w:color="auto"/>
                <w:right w:val="none" w:sz="0" w:space="0" w:color="auto"/>
              </w:divBdr>
              <w:divsChild>
                <w:div w:id="962271633">
                  <w:marLeft w:val="0"/>
                  <w:marRight w:val="0"/>
                  <w:marTop w:val="0"/>
                  <w:marBottom w:val="0"/>
                  <w:divBdr>
                    <w:top w:val="none" w:sz="0" w:space="0" w:color="auto"/>
                    <w:left w:val="none" w:sz="0" w:space="0" w:color="auto"/>
                    <w:bottom w:val="none" w:sz="0" w:space="0" w:color="auto"/>
                    <w:right w:val="none" w:sz="0" w:space="0" w:color="auto"/>
                  </w:divBdr>
                  <w:divsChild>
                    <w:div w:id="2118863725">
                      <w:marLeft w:val="0"/>
                      <w:marRight w:val="0"/>
                      <w:marTop w:val="0"/>
                      <w:marBottom w:val="0"/>
                      <w:divBdr>
                        <w:top w:val="none" w:sz="0" w:space="0" w:color="auto"/>
                        <w:left w:val="none" w:sz="0" w:space="0" w:color="auto"/>
                        <w:bottom w:val="none" w:sz="0" w:space="0" w:color="auto"/>
                        <w:right w:val="none" w:sz="0" w:space="0" w:color="auto"/>
                      </w:divBdr>
                      <w:divsChild>
                        <w:div w:id="50615935">
                          <w:marLeft w:val="0"/>
                          <w:marRight w:val="0"/>
                          <w:marTop w:val="0"/>
                          <w:marBottom w:val="0"/>
                          <w:divBdr>
                            <w:top w:val="none" w:sz="0" w:space="0" w:color="auto"/>
                            <w:left w:val="none" w:sz="0" w:space="0" w:color="auto"/>
                            <w:bottom w:val="none" w:sz="0" w:space="0" w:color="auto"/>
                            <w:right w:val="none" w:sz="0" w:space="0" w:color="auto"/>
                          </w:divBdr>
                          <w:divsChild>
                            <w:div w:id="1451824023">
                              <w:marLeft w:val="0"/>
                              <w:marRight w:val="0"/>
                              <w:marTop w:val="0"/>
                              <w:marBottom w:val="0"/>
                              <w:divBdr>
                                <w:top w:val="none" w:sz="0" w:space="0" w:color="auto"/>
                                <w:left w:val="none" w:sz="0" w:space="0" w:color="auto"/>
                                <w:bottom w:val="none" w:sz="0" w:space="0" w:color="auto"/>
                                <w:right w:val="none" w:sz="0" w:space="0" w:color="auto"/>
                              </w:divBdr>
                              <w:divsChild>
                                <w:div w:id="305625202">
                                  <w:marLeft w:val="0"/>
                                  <w:marRight w:val="0"/>
                                  <w:marTop w:val="0"/>
                                  <w:marBottom w:val="0"/>
                                  <w:divBdr>
                                    <w:top w:val="none" w:sz="0" w:space="0" w:color="auto"/>
                                    <w:left w:val="none" w:sz="0" w:space="0" w:color="auto"/>
                                    <w:bottom w:val="none" w:sz="0" w:space="0" w:color="auto"/>
                                    <w:right w:val="none" w:sz="0" w:space="0" w:color="auto"/>
                                  </w:divBdr>
                                  <w:divsChild>
                                    <w:div w:id="717172583">
                                      <w:marLeft w:val="0"/>
                                      <w:marRight w:val="0"/>
                                      <w:marTop w:val="0"/>
                                      <w:marBottom w:val="0"/>
                                      <w:divBdr>
                                        <w:top w:val="none" w:sz="0" w:space="0" w:color="auto"/>
                                        <w:left w:val="none" w:sz="0" w:space="0" w:color="auto"/>
                                        <w:bottom w:val="none" w:sz="0" w:space="0" w:color="auto"/>
                                        <w:right w:val="none" w:sz="0" w:space="0" w:color="auto"/>
                                      </w:divBdr>
                                      <w:divsChild>
                                        <w:div w:id="3087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64">
                          <w:marLeft w:val="0"/>
                          <w:marRight w:val="0"/>
                          <w:marTop w:val="0"/>
                          <w:marBottom w:val="0"/>
                          <w:divBdr>
                            <w:top w:val="none" w:sz="0" w:space="0" w:color="auto"/>
                            <w:left w:val="none" w:sz="0" w:space="0" w:color="auto"/>
                            <w:bottom w:val="none" w:sz="0" w:space="0" w:color="auto"/>
                            <w:right w:val="none" w:sz="0" w:space="0" w:color="auto"/>
                          </w:divBdr>
                          <w:divsChild>
                            <w:div w:id="846823236">
                              <w:marLeft w:val="0"/>
                              <w:marRight w:val="0"/>
                              <w:marTop w:val="0"/>
                              <w:marBottom w:val="0"/>
                              <w:divBdr>
                                <w:top w:val="none" w:sz="0" w:space="0" w:color="auto"/>
                                <w:left w:val="none" w:sz="0" w:space="0" w:color="auto"/>
                                <w:bottom w:val="none" w:sz="0" w:space="0" w:color="auto"/>
                                <w:right w:val="none" w:sz="0" w:space="0" w:color="auto"/>
                              </w:divBdr>
                              <w:divsChild>
                                <w:div w:id="1073046600">
                                  <w:marLeft w:val="0"/>
                                  <w:marRight w:val="0"/>
                                  <w:marTop w:val="0"/>
                                  <w:marBottom w:val="0"/>
                                  <w:divBdr>
                                    <w:top w:val="none" w:sz="0" w:space="0" w:color="auto"/>
                                    <w:left w:val="none" w:sz="0" w:space="0" w:color="auto"/>
                                    <w:bottom w:val="none" w:sz="0" w:space="0" w:color="auto"/>
                                    <w:right w:val="none" w:sz="0" w:space="0" w:color="auto"/>
                                  </w:divBdr>
                                  <w:divsChild>
                                    <w:div w:id="1252155941">
                                      <w:marLeft w:val="0"/>
                                      <w:marRight w:val="0"/>
                                      <w:marTop w:val="0"/>
                                      <w:marBottom w:val="0"/>
                                      <w:divBdr>
                                        <w:top w:val="none" w:sz="0" w:space="0" w:color="auto"/>
                                        <w:left w:val="none" w:sz="0" w:space="0" w:color="auto"/>
                                        <w:bottom w:val="none" w:sz="0" w:space="0" w:color="auto"/>
                                        <w:right w:val="none" w:sz="0" w:space="0" w:color="auto"/>
                                      </w:divBdr>
                                      <w:divsChild>
                                        <w:div w:id="160170555">
                                          <w:marLeft w:val="0"/>
                                          <w:marRight w:val="0"/>
                                          <w:marTop w:val="0"/>
                                          <w:marBottom w:val="0"/>
                                          <w:divBdr>
                                            <w:top w:val="none" w:sz="0" w:space="0" w:color="auto"/>
                                            <w:left w:val="none" w:sz="0" w:space="0" w:color="auto"/>
                                            <w:bottom w:val="none" w:sz="0" w:space="0" w:color="auto"/>
                                            <w:right w:val="none" w:sz="0" w:space="0" w:color="auto"/>
                                          </w:divBdr>
                                          <w:divsChild>
                                            <w:div w:id="331031291">
                                              <w:marLeft w:val="0"/>
                                              <w:marRight w:val="0"/>
                                              <w:marTop w:val="0"/>
                                              <w:marBottom w:val="0"/>
                                              <w:divBdr>
                                                <w:top w:val="none" w:sz="0" w:space="0" w:color="auto"/>
                                                <w:left w:val="none" w:sz="0" w:space="0" w:color="auto"/>
                                                <w:bottom w:val="none" w:sz="0" w:space="0" w:color="auto"/>
                                                <w:right w:val="none" w:sz="0" w:space="0" w:color="auto"/>
                                              </w:divBdr>
                                              <w:divsChild>
                                                <w:div w:id="6378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637">
                                          <w:marLeft w:val="0"/>
                                          <w:marRight w:val="0"/>
                                          <w:marTop w:val="0"/>
                                          <w:marBottom w:val="0"/>
                                          <w:divBdr>
                                            <w:top w:val="none" w:sz="0" w:space="0" w:color="auto"/>
                                            <w:left w:val="none" w:sz="0" w:space="0" w:color="auto"/>
                                            <w:bottom w:val="none" w:sz="0" w:space="0" w:color="auto"/>
                                            <w:right w:val="none" w:sz="0" w:space="0" w:color="auto"/>
                                          </w:divBdr>
                                          <w:divsChild>
                                            <w:div w:id="1594391618">
                                              <w:marLeft w:val="0"/>
                                              <w:marRight w:val="0"/>
                                              <w:marTop w:val="0"/>
                                              <w:marBottom w:val="0"/>
                                              <w:divBdr>
                                                <w:top w:val="none" w:sz="0" w:space="0" w:color="auto"/>
                                                <w:left w:val="none" w:sz="0" w:space="0" w:color="auto"/>
                                                <w:bottom w:val="none" w:sz="0" w:space="0" w:color="auto"/>
                                                <w:right w:val="none" w:sz="0" w:space="0" w:color="auto"/>
                                              </w:divBdr>
                                              <w:divsChild>
                                                <w:div w:id="2867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53841">
      <w:bodyDiv w:val="1"/>
      <w:marLeft w:val="0"/>
      <w:marRight w:val="0"/>
      <w:marTop w:val="0"/>
      <w:marBottom w:val="0"/>
      <w:divBdr>
        <w:top w:val="none" w:sz="0" w:space="0" w:color="auto"/>
        <w:left w:val="none" w:sz="0" w:space="0" w:color="auto"/>
        <w:bottom w:val="none" w:sz="0" w:space="0" w:color="auto"/>
        <w:right w:val="none" w:sz="0" w:space="0" w:color="auto"/>
      </w:divBdr>
    </w:div>
    <w:div w:id="248127396">
      <w:bodyDiv w:val="1"/>
      <w:marLeft w:val="0"/>
      <w:marRight w:val="0"/>
      <w:marTop w:val="0"/>
      <w:marBottom w:val="0"/>
      <w:divBdr>
        <w:top w:val="none" w:sz="0" w:space="0" w:color="auto"/>
        <w:left w:val="none" w:sz="0" w:space="0" w:color="auto"/>
        <w:bottom w:val="none" w:sz="0" w:space="0" w:color="auto"/>
        <w:right w:val="none" w:sz="0" w:space="0" w:color="auto"/>
      </w:divBdr>
      <w:divsChild>
        <w:div w:id="964576301">
          <w:marLeft w:val="0"/>
          <w:marRight w:val="0"/>
          <w:marTop w:val="0"/>
          <w:marBottom w:val="0"/>
          <w:divBdr>
            <w:top w:val="none" w:sz="0" w:space="0" w:color="auto"/>
            <w:left w:val="none" w:sz="0" w:space="0" w:color="auto"/>
            <w:bottom w:val="none" w:sz="0" w:space="0" w:color="auto"/>
            <w:right w:val="none" w:sz="0" w:space="0" w:color="auto"/>
          </w:divBdr>
          <w:divsChild>
            <w:div w:id="62610410">
              <w:marLeft w:val="0"/>
              <w:marRight w:val="0"/>
              <w:marTop w:val="0"/>
              <w:marBottom w:val="0"/>
              <w:divBdr>
                <w:top w:val="none" w:sz="0" w:space="0" w:color="auto"/>
                <w:left w:val="none" w:sz="0" w:space="0" w:color="auto"/>
                <w:bottom w:val="none" w:sz="0" w:space="0" w:color="auto"/>
                <w:right w:val="none" w:sz="0" w:space="0" w:color="auto"/>
              </w:divBdr>
              <w:divsChild>
                <w:div w:id="1199927084">
                  <w:marLeft w:val="0"/>
                  <w:marRight w:val="0"/>
                  <w:marTop w:val="0"/>
                  <w:marBottom w:val="0"/>
                  <w:divBdr>
                    <w:top w:val="none" w:sz="0" w:space="0" w:color="auto"/>
                    <w:left w:val="none" w:sz="0" w:space="0" w:color="auto"/>
                    <w:bottom w:val="none" w:sz="0" w:space="0" w:color="auto"/>
                    <w:right w:val="none" w:sz="0" w:space="0" w:color="auto"/>
                  </w:divBdr>
                  <w:divsChild>
                    <w:div w:id="776175573">
                      <w:marLeft w:val="0"/>
                      <w:marRight w:val="0"/>
                      <w:marTop w:val="0"/>
                      <w:marBottom w:val="0"/>
                      <w:divBdr>
                        <w:top w:val="none" w:sz="0" w:space="0" w:color="auto"/>
                        <w:left w:val="none" w:sz="0" w:space="0" w:color="auto"/>
                        <w:bottom w:val="none" w:sz="0" w:space="0" w:color="auto"/>
                        <w:right w:val="none" w:sz="0" w:space="0" w:color="auto"/>
                      </w:divBdr>
                      <w:divsChild>
                        <w:div w:id="1757434936">
                          <w:marLeft w:val="0"/>
                          <w:marRight w:val="0"/>
                          <w:marTop w:val="0"/>
                          <w:marBottom w:val="0"/>
                          <w:divBdr>
                            <w:top w:val="none" w:sz="0" w:space="0" w:color="auto"/>
                            <w:left w:val="none" w:sz="0" w:space="0" w:color="auto"/>
                            <w:bottom w:val="none" w:sz="0" w:space="0" w:color="auto"/>
                            <w:right w:val="none" w:sz="0" w:space="0" w:color="auto"/>
                          </w:divBdr>
                          <w:divsChild>
                            <w:div w:id="1233202819">
                              <w:marLeft w:val="0"/>
                              <w:marRight w:val="0"/>
                              <w:marTop w:val="0"/>
                              <w:marBottom w:val="0"/>
                              <w:divBdr>
                                <w:top w:val="none" w:sz="0" w:space="0" w:color="auto"/>
                                <w:left w:val="none" w:sz="0" w:space="0" w:color="auto"/>
                                <w:bottom w:val="none" w:sz="0" w:space="0" w:color="auto"/>
                                <w:right w:val="none" w:sz="0" w:space="0" w:color="auto"/>
                              </w:divBdr>
                              <w:divsChild>
                                <w:div w:id="925722563">
                                  <w:marLeft w:val="0"/>
                                  <w:marRight w:val="0"/>
                                  <w:marTop w:val="0"/>
                                  <w:marBottom w:val="0"/>
                                  <w:divBdr>
                                    <w:top w:val="none" w:sz="0" w:space="0" w:color="auto"/>
                                    <w:left w:val="none" w:sz="0" w:space="0" w:color="auto"/>
                                    <w:bottom w:val="none" w:sz="0" w:space="0" w:color="auto"/>
                                    <w:right w:val="none" w:sz="0" w:space="0" w:color="auto"/>
                                  </w:divBdr>
                                  <w:divsChild>
                                    <w:div w:id="205142111">
                                      <w:marLeft w:val="0"/>
                                      <w:marRight w:val="0"/>
                                      <w:marTop w:val="0"/>
                                      <w:marBottom w:val="0"/>
                                      <w:divBdr>
                                        <w:top w:val="none" w:sz="0" w:space="0" w:color="auto"/>
                                        <w:left w:val="none" w:sz="0" w:space="0" w:color="auto"/>
                                        <w:bottom w:val="none" w:sz="0" w:space="0" w:color="auto"/>
                                        <w:right w:val="none" w:sz="0" w:space="0" w:color="auto"/>
                                      </w:divBdr>
                                      <w:divsChild>
                                        <w:div w:id="9165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8592">
                          <w:marLeft w:val="0"/>
                          <w:marRight w:val="0"/>
                          <w:marTop w:val="0"/>
                          <w:marBottom w:val="0"/>
                          <w:divBdr>
                            <w:top w:val="none" w:sz="0" w:space="0" w:color="auto"/>
                            <w:left w:val="none" w:sz="0" w:space="0" w:color="auto"/>
                            <w:bottom w:val="none" w:sz="0" w:space="0" w:color="auto"/>
                            <w:right w:val="none" w:sz="0" w:space="0" w:color="auto"/>
                          </w:divBdr>
                          <w:divsChild>
                            <w:div w:id="1330521157">
                              <w:marLeft w:val="0"/>
                              <w:marRight w:val="0"/>
                              <w:marTop w:val="0"/>
                              <w:marBottom w:val="0"/>
                              <w:divBdr>
                                <w:top w:val="none" w:sz="0" w:space="0" w:color="auto"/>
                                <w:left w:val="none" w:sz="0" w:space="0" w:color="auto"/>
                                <w:bottom w:val="none" w:sz="0" w:space="0" w:color="auto"/>
                                <w:right w:val="none" w:sz="0" w:space="0" w:color="auto"/>
                              </w:divBdr>
                              <w:divsChild>
                                <w:div w:id="1729953977">
                                  <w:marLeft w:val="0"/>
                                  <w:marRight w:val="0"/>
                                  <w:marTop w:val="0"/>
                                  <w:marBottom w:val="0"/>
                                  <w:divBdr>
                                    <w:top w:val="none" w:sz="0" w:space="0" w:color="auto"/>
                                    <w:left w:val="none" w:sz="0" w:space="0" w:color="auto"/>
                                    <w:bottom w:val="none" w:sz="0" w:space="0" w:color="auto"/>
                                    <w:right w:val="none" w:sz="0" w:space="0" w:color="auto"/>
                                  </w:divBdr>
                                  <w:divsChild>
                                    <w:div w:id="1198350952">
                                      <w:marLeft w:val="0"/>
                                      <w:marRight w:val="0"/>
                                      <w:marTop w:val="0"/>
                                      <w:marBottom w:val="0"/>
                                      <w:divBdr>
                                        <w:top w:val="none" w:sz="0" w:space="0" w:color="auto"/>
                                        <w:left w:val="none" w:sz="0" w:space="0" w:color="auto"/>
                                        <w:bottom w:val="none" w:sz="0" w:space="0" w:color="auto"/>
                                        <w:right w:val="none" w:sz="0" w:space="0" w:color="auto"/>
                                      </w:divBdr>
                                      <w:divsChild>
                                        <w:div w:id="1718623523">
                                          <w:marLeft w:val="0"/>
                                          <w:marRight w:val="0"/>
                                          <w:marTop w:val="0"/>
                                          <w:marBottom w:val="0"/>
                                          <w:divBdr>
                                            <w:top w:val="none" w:sz="0" w:space="0" w:color="auto"/>
                                            <w:left w:val="none" w:sz="0" w:space="0" w:color="auto"/>
                                            <w:bottom w:val="none" w:sz="0" w:space="0" w:color="auto"/>
                                            <w:right w:val="none" w:sz="0" w:space="0" w:color="auto"/>
                                          </w:divBdr>
                                          <w:divsChild>
                                            <w:div w:id="1699040761">
                                              <w:marLeft w:val="0"/>
                                              <w:marRight w:val="0"/>
                                              <w:marTop w:val="0"/>
                                              <w:marBottom w:val="0"/>
                                              <w:divBdr>
                                                <w:top w:val="none" w:sz="0" w:space="0" w:color="auto"/>
                                                <w:left w:val="none" w:sz="0" w:space="0" w:color="auto"/>
                                                <w:bottom w:val="none" w:sz="0" w:space="0" w:color="auto"/>
                                                <w:right w:val="none" w:sz="0" w:space="0" w:color="auto"/>
                                              </w:divBdr>
                                              <w:divsChild>
                                                <w:div w:id="1599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2882">
                                          <w:marLeft w:val="0"/>
                                          <w:marRight w:val="0"/>
                                          <w:marTop w:val="0"/>
                                          <w:marBottom w:val="0"/>
                                          <w:divBdr>
                                            <w:top w:val="none" w:sz="0" w:space="0" w:color="auto"/>
                                            <w:left w:val="none" w:sz="0" w:space="0" w:color="auto"/>
                                            <w:bottom w:val="none" w:sz="0" w:space="0" w:color="auto"/>
                                            <w:right w:val="none" w:sz="0" w:space="0" w:color="auto"/>
                                          </w:divBdr>
                                          <w:divsChild>
                                            <w:div w:id="1207715979">
                                              <w:marLeft w:val="0"/>
                                              <w:marRight w:val="0"/>
                                              <w:marTop w:val="0"/>
                                              <w:marBottom w:val="0"/>
                                              <w:divBdr>
                                                <w:top w:val="none" w:sz="0" w:space="0" w:color="auto"/>
                                                <w:left w:val="none" w:sz="0" w:space="0" w:color="auto"/>
                                                <w:bottom w:val="none" w:sz="0" w:space="0" w:color="auto"/>
                                                <w:right w:val="none" w:sz="0" w:space="0" w:color="auto"/>
                                              </w:divBdr>
                                              <w:divsChild>
                                                <w:div w:id="18889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514539">
      <w:bodyDiv w:val="1"/>
      <w:marLeft w:val="0"/>
      <w:marRight w:val="0"/>
      <w:marTop w:val="0"/>
      <w:marBottom w:val="0"/>
      <w:divBdr>
        <w:top w:val="none" w:sz="0" w:space="0" w:color="auto"/>
        <w:left w:val="none" w:sz="0" w:space="0" w:color="auto"/>
        <w:bottom w:val="none" w:sz="0" w:space="0" w:color="auto"/>
        <w:right w:val="none" w:sz="0" w:space="0" w:color="auto"/>
      </w:divBdr>
      <w:divsChild>
        <w:div w:id="493961755">
          <w:marLeft w:val="0"/>
          <w:marRight w:val="0"/>
          <w:marTop w:val="0"/>
          <w:marBottom w:val="0"/>
          <w:divBdr>
            <w:top w:val="none" w:sz="0" w:space="0" w:color="auto"/>
            <w:left w:val="none" w:sz="0" w:space="0" w:color="auto"/>
            <w:bottom w:val="none" w:sz="0" w:space="0" w:color="auto"/>
            <w:right w:val="none" w:sz="0" w:space="0" w:color="auto"/>
          </w:divBdr>
          <w:divsChild>
            <w:div w:id="656304329">
              <w:marLeft w:val="0"/>
              <w:marRight w:val="0"/>
              <w:marTop w:val="0"/>
              <w:marBottom w:val="0"/>
              <w:divBdr>
                <w:top w:val="none" w:sz="0" w:space="0" w:color="auto"/>
                <w:left w:val="none" w:sz="0" w:space="0" w:color="auto"/>
                <w:bottom w:val="none" w:sz="0" w:space="0" w:color="auto"/>
                <w:right w:val="none" w:sz="0" w:space="0" w:color="auto"/>
              </w:divBdr>
              <w:divsChild>
                <w:div w:id="420568959">
                  <w:marLeft w:val="0"/>
                  <w:marRight w:val="0"/>
                  <w:marTop w:val="0"/>
                  <w:marBottom w:val="0"/>
                  <w:divBdr>
                    <w:top w:val="none" w:sz="0" w:space="0" w:color="auto"/>
                    <w:left w:val="none" w:sz="0" w:space="0" w:color="auto"/>
                    <w:bottom w:val="none" w:sz="0" w:space="0" w:color="auto"/>
                    <w:right w:val="none" w:sz="0" w:space="0" w:color="auto"/>
                  </w:divBdr>
                  <w:divsChild>
                    <w:div w:id="680935529">
                      <w:marLeft w:val="0"/>
                      <w:marRight w:val="0"/>
                      <w:marTop w:val="0"/>
                      <w:marBottom w:val="0"/>
                      <w:divBdr>
                        <w:top w:val="none" w:sz="0" w:space="0" w:color="auto"/>
                        <w:left w:val="none" w:sz="0" w:space="0" w:color="auto"/>
                        <w:bottom w:val="none" w:sz="0" w:space="0" w:color="auto"/>
                        <w:right w:val="none" w:sz="0" w:space="0" w:color="auto"/>
                      </w:divBdr>
                      <w:divsChild>
                        <w:div w:id="71203429">
                          <w:marLeft w:val="0"/>
                          <w:marRight w:val="0"/>
                          <w:marTop w:val="0"/>
                          <w:marBottom w:val="0"/>
                          <w:divBdr>
                            <w:top w:val="none" w:sz="0" w:space="0" w:color="auto"/>
                            <w:left w:val="none" w:sz="0" w:space="0" w:color="auto"/>
                            <w:bottom w:val="none" w:sz="0" w:space="0" w:color="auto"/>
                            <w:right w:val="none" w:sz="0" w:space="0" w:color="auto"/>
                          </w:divBdr>
                          <w:divsChild>
                            <w:div w:id="194391277">
                              <w:marLeft w:val="0"/>
                              <w:marRight w:val="0"/>
                              <w:marTop w:val="0"/>
                              <w:marBottom w:val="0"/>
                              <w:divBdr>
                                <w:top w:val="none" w:sz="0" w:space="0" w:color="auto"/>
                                <w:left w:val="none" w:sz="0" w:space="0" w:color="auto"/>
                                <w:bottom w:val="none" w:sz="0" w:space="0" w:color="auto"/>
                                <w:right w:val="none" w:sz="0" w:space="0" w:color="auto"/>
                              </w:divBdr>
                              <w:divsChild>
                                <w:div w:id="152068653">
                                  <w:marLeft w:val="0"/>
                                  <w:marRight w:val="0"/>
                                  <w:marTop w:val="0"/>
                                  <w:marBottom w:val="0"/>
                                  <w:divBdr>
                                    <w:top w:val="none" w:sz="0" w:space="0" w:color="auto"/>
                                    <w:left w:val="none" w:sz="0" w:space="0" w:color="auto"/>
                                    <w:bottom w:val="none" w:sz="0" w:space="0" w:color="auto"/>
                                    <w:right w:val="none" w:sz="0" w:space="0" w:color="auto"/>
                                  </w:divBdr>
                                  <w:divsChild>
                                    <w:div w:id="550307864">
                                      <w:marLeft w:val="0"/>
                                      <w:marRight w:val="0"/>
                                      <w:marTop w:val="0"/>
                                      <w:marBottom w:val="0"/>
                                      <w:divBdr>
                                        <w:top w:val="none" w:sz="0" w:space="0" w:color="auto"/>
                                        <w:left w:val="none" w:sz="0" w:space="0" w:color="auto"/>
                                        <w:bottom w:val="none" w:sz="0" w:space="0" w:color="auto"/>
                                        <w:right w:val="none" w:sz="0" w:space="0" w:color="auto"/>
                                      </w:divBdr>
                                      <w:divsChild>
                                        <w:div w:id="10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3841">
                          <w:marLeft w:val="0"/>
                          <w:marRight w:val="0"/>
                          <w:marTop w:val="0"/>
                          <w:marBottom w:val="0"/>
                          <w:divBdr>
                            <w:top w:val="none" w:sz="0" w:space="0" w:color="auto"/>
                            <w:left w:val="none" w:sz="0" w:space="0" w:color="auto"/>
                            <w:bottom w:val="none" w:sz="0" w:space="0" w:color="auto"/>
                            <w:right w:val="none" w:sz="0" w:space="0" w:color="auto"/>
                          </w:divBdr>
                          <w:divsChild>
                            <w:div w:id="229925851">
                              <w:marLeft w:val="0"/>
                              <w:marRight w:val="0"/>
                              <w:marTop w:val="0"/>
                              <w:marBottom w:val="0"/>
                              <w:divBdr>
                                <w:top w:val="none" w:sz="0" w:space="0" w:color="auto"/>
                                <w:left w:val="none" w:sz="0" w:space="0" w:color="auto"/>
                                <w:bottom w:val="none" w:sz="0" w:space="0" w:color="auto"/>
                                <w:right w:val="none" w:sz="0" w:space="0" w:color="auto"/>
                              </w:divBdr>
                              <w:divsChild>
                                <w:div w:id="140925301">
                                  <w:marLeft w:val="0"/>
                                  <w:marRight w:val="0"/>
                                  <w:marTop w:val="0"/>
                                  <w:marBottom w:val="0"/>
                                  <w:divBdr>
                                    <w:top w:val="none" w:sz="0" w:space="0" w:color="auto"/>
                                    <w:left w:val="none" w:sz="0" w:space="0" w:color="auto"/>
                                    <w:bottom w:val="none" w:sz="0" w:space="0" w:color="auto"/>
                                    <w:right w:val="none" w:sz="0" w:space="0" w:color="auto"/>
                                  </w:divBdr>
                                  <w:divsChild>
                                    <w:div w:id="1869677702">
                                      <w:marLeft w:val="0"/>
                                      <w:marRight w:val="0"/>
                                      <w:marTop w:val="0"/>
                                      <w:marBottom w:val="0"/>
                                      <w:divBdr>
                                        <w:top w:val="none" w:sz="0" w:space="0" w:color="auto"/>
                                        <w:left w:val="none" w:sz="0" w:space="0" w:color="auto"/>
                                        <w:bottom w:val="none" w:sz="0" w:space="0" w:color="auto"/>
                                        <w:right w:val="none" w:sz="0" w:space="0" w:color="auto"/>
                                      </w:divBdr>
                                      <w:divsChild>
                                        <w:div w:id="1488326215">
                                          <w:marLeft w:val="0"/>
                                          <w:marRight w:val="0"/>
                                          <w:marTop w:val="0"/>
                                          <w:marBottom w:val="0"/>
                                          <w:divBdr>
                                            <w:top w:val="none" w:sz="0" w:space="0" w:color="auto"/>
                                            <w:left w:val="none" w:sz="0" w:space="0" w:color="auto"/>
                                            <w:bottom w:val="none" w:sz="0" w:space="0" w:color="auto"/>
                                            <w:right w:val="none" w:sz="0" w:space="0" w:color="auto"/>
                                          </w:divBdr>
                                          <w:divsChild>
                                            <w:div w:id="1978681528">
                                              <w:marLeft w:val="0"/>
                                              <w:marRight w:val="0"/>
                                              <w:marTop w:val="0"/>
                                              <w:marBottom w:val="0"/>
                                              <w:divBdr>
                                                <w:top w:val="none" w:sz="0" w:space="0" w:color="auto"/>
                                                <w:left w:val="none" w:sz="0" w:space="0" w:color="auto"/>
                                                <w:bottom w:val="none" w:sz="0" w:space="0" w:color="auto"/>
                                                <w:right w:val="none" w:sz="0" w:space="0" w:color="auto"/>
                                              </w:divBdr>
                                              <w:divsChild>
                                                <w:div w:id="5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028">
                                          <w:marLeft w:val="0"/>
                                          <w:marRight w:val="0"/>
                                          <w:marTop w:val="0"/>
                                          <w:marBottom w:val="0"/>
                                          <w:divBdr>
                                            <w:top w:val="none" w:sz="0" w:space="0" w:color="auto"/>
                                            <w:left w:val="none" w:sz="0" w:space="0" w:color="auto"/>
                                            <w:bottom w:val="none" w:sz="0" w:space="0" w:color="auto"/>
                                            <w:right w:val="none" w:sz="0" w:space="0" w:color="auto"/>
                                          </w:divBdr>
                                          <w:divsChild>
                                            <w:div w:id="579952618">
                                              <w:marLeft w:val="0"/>
                                              <w:marRight w:val="0"/>
                                              <w:marTop w:val="0"/>
                                              <w:marBottom w:val="0"/>
                                              <w:divBdr>
                                                <w:top w:val="none" w:sz="0" w:space="0" w:color="auto"/>
                                                <w:left w:val="none" w:sz="0" w:space="0" w:color="auto"/>
                                                <w:bottom w:val="none" w:sz="0" w:space="0" w:color="auto"/>
                                                <w:right w:val="none" w:sz="0" w:space="0" w:color="auto"/>
                                              </w:divBdr>
                                              <w:divsChild>
                                                <w:div w:id="865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363419">
      <w:bodyDiv w:val="1"/>
      <w:marLeft w:val="0"/>
      <w:marRight w:val="0"/>
      <w:marTop w:val="0"/>
      <w:marBottom w:val="0"/>
      <w:divBdr>
        <w:top w:val="none" w:sz="0" w:space="0" w:color="auto"/>
        <w:left w:val="none" w:sz="0" w:space="0" w:color="auto"/>
        <w:bottom w:val="none" w:sz="0" w:space="0" w:color="auto"/>
        <w:right w:val="none" w:sz="0" w:space="0" w:color="auto"/>
      </w:divBdr>
      <w:divsChild>
        <w:div w:id="1443957001">
          <w:marLeft w:val="0"/>
          <w:marRight w:val="0"/>
          <w:marTop w:val="0"/>
          <w:marBottom w:val="0"/>
          <w:divBdr>
            <w:top w:val="none" w:sz="0" w:space="0" w:color="auto"/>
            <w:left w:val="none" w:sz="0" w:space="0" w:color="auto"/>
            <w:bottom w:val="none" w:sz="0" w:space="0" w:color="auto"/>
            <w:right w:val="none" w:sz="0" w:space="0" w:color="auto"/>
          </w:divBdr>
          <w:divsChild>
            <w:div w:id="420033412">
              <w:marLeft w:val="0"/>
              <w:marRight w:val="0"/>
              <w:marTop w:val="0"/>
              <w:marBottom w:val="0"/>
              <w:divBdr>
                <w:top w:val="none" w:sz="0" w:space="0" w:color="auto"/>
                <w:left w:val="none" w:sz="0" w:space="0" w:color="auto"/>
                <w:bottom w:val="none" w:sz="0" w:space="0" w:color="auto"/>
                <w:right w:val="none" w:sz="0" w:space="0" w:color="auto"/>
              </w:divBdr>
              <w:divsChild>
                <w:div w:id="2056925178">
                  <w:marLeft w:val="0"/>
                  <w:marRight w:val="0"/>
                  <w:marTop w:val="0"/>
                  <w:marBottom w:val="0"/>
                  <w:divBdr>
                    <w:top w:val="none" w:sz="0" w:space="0" w:color="auto"/>
                    <w:left w:val="none" w:sz="0" w:space="0" w:color="auto"/>
                    <w:bottom w:val="none" w:sz="0" w:space="0" w:color="auto"/>
                    <w:right w:val="none" w:sz="0" w:space="0" w:color="auto"/>
                  </w:divBdr>
                  <w:divsChild>
                    <w:div w:id="365571165">
                      <w:marLeft w:val="0"/>
                      <w:marRight w:val="0"/>
                      <w:marTop w:val="0"/>
                      <w:marBottom w:val="0"/>
                      <w:divBdr>
                        <w:top w:val="none" w:sz="0" w:space="0" w:color="auto"/>
                        <w:left w:val="none" w:sz="0" w:space="0" w:color="auto"/>
                        <w:bottom w:val="none" w:sz="0" w:space="0" w:color="auto"/>
                        <w:right w:val="none" w:sz="0" w:space="0" w:color="auto"/>
                      </w:divBdr>
                      <w:divsChild>
                        <w:div w:id="735006769">
                          <w:marLeft w:val="0"/>
                          <w:marRight w:val="0"/>
                          <w:marTop w:val="0"/>
                          <w:marBottom w:val="0"/>
                          <w:divBdr>
                            <w:top w:val="none" w:sz="0" w:space="0" w:color="auto"/>
                            <w:left w:val="none" w:sz="0" w:space="0" w:color="auto"/>
                            <w:bottom w:val="none" w:sz="0" w:space="0" w:color="auto"/>
                            <w:right w:val="none" w:sz="0" w:space="0" w:color="auto"/>
                          </w:divBdr>
                          <w:divsChild>
                            <w:div w:id="1491826010">
                              <w:marLeft w:val="0"/>
                              <w:marRight w:val="0"/>
                              <w:marTop w:val="0"/>
                              <w:marBottom w:val="0"/>
                              <w:divBdr>
                                <w:top w:val="none" w:sz="0" w:space="0" w:color="auto"/>
                                <w:left w:val="none" w:sz="0" w:space="0" w:color="auto"/>
                                <w:bottom w:val="none" w:sz="0" w:space="0" w:color="auto"/>
                                <w:right w:val="none" w:sz="0" w:space="0" w:color="auto"/>
                              </w:divBdr>
                              <w:divsChild>
                                <w:div w:id="1446272352">
                                  <w:marLeft w:val="0"/>
                                  <w:marRight w:val="0"/>
                                  <w:marTop w:val="0"/>
                                  <w:marBottom w:val="0"/>
                                  <w:divBdr>
                                    <w:top w:val="none" w:sz="0" w:space="0" w:color="auto"/>
                                    <w:left w:val="none" w:sz="0" w:space="0" w:color="auto"/>
                                    <w:bottom w:val="none" w:sz="0" w:space="0" w:color="auto"/>
                                    <w:right w:val="none" w:sz="0" w:space="0" w:color="auto"/>
                                  </w:divBdr>
                                  <w:divsChild>
                                    <w:div w:id="1990399330">
                                      <w:marLeft w:val="0"/>
                                      <w:marRight w:val="0"/>
                                      <w:marTop w:val="0"/>
                                      <w:marBottom w:val="0"/>
                                      <w:divBdr>
                                        <w:top w:val="none" w:sz="0" w:space="0" w:color="auto"/>
                                        <w:left w:val="none" w:sz="0" w:space="0" w:color="auto"/>
                                        <w:bottom w:val="none" w:sz="0" w:space="0" w:color="auto"/>
                                        <w:right w:val="none" w:sz="0" w:space="0" w:color="auto"/>
                                      </w:divBdr>
                                      <w:divsChild>
                                        <w:div w:id="1400901633">
                                          <w:marLeft w:val="0"/>
                                          <w:marRight w:val="0"/>
                                          <w:marTop w:val="0"/>
                                          <w:marBottom w:val="0"/>
                                          <w:divBdr>
                                            <w:top w:val="none" w:sz="0" w:space="0" w:color="auto"/>
                                            <w:left w:val="none" w:sz="0" w:space="0" w:color="auto"/>
                                            <w:bottom w:val="none" w:sz="0" w:space="0" w:color="auto"/>
                                            <w:right w:val="none" w:sz="0" w:space="0" w:color="auto"/>
                                          </w:divBdr>
                                          <w:divsChild>
                                            <w:div w:id="736828704">
                                              <w:marLeft w:val="0"/>
                                              <w:marRight w:val="0"/>
                                              <w:marTop w:val="0"/>
                                              <w:marBottom w:val="0"/>
                                              <w:divBdr>
                                                <w:top w:val="none" w:sz="0" w:space="0" w:color="auto"/>
                                                <w:left w:val="none" w:sz="0" w:space="0" w:color="auto"/>
                                                <w:bottom w:val="none" w:sz="0" w:space="0" w:color="auto"/>
                                                <w:right w:val="none" w:sz="0" w:space="0" w:color="auto"/>
                                              </w:divBdr>
                                              <w:divsChild>
                                                <w:div w:id="195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885225">
      <w:bodyDiv w:val="1"/>
      <w:marLeft w:val="0"/>
      <w:marRight w:val="0"/>
      <w:marTop w:val="0"/>
      <w:marBottom w:val="0"/>
      <w:divBdr>
        <w:top w:val="none" w:sz="0" w:space="0" w:color="auto"/>
        <w:left w:val="none" w:sz="0" w:space="0" w:color="auto"/>
        <w:bottom w:val="none" w:sz="0" w:space="0" w:color="auto"/>
        <w:right w:val="none" w:sz="0" w:space="0" w:color="auto"/>
      </w:divBdr>
      <w:divsChild>
        <w:div w:id="205408335">
          <w:marLeft w:val="0"/>
          <w:marRight w:val="0"/>
          <w:marTop w:val="0"/>
          <w:marBottom w:val="0"/>
          <w:divBdr>
            <w:top w:val="none" w:sz="0" w:space="0" w:color="auto"/>
            <w:left w:val="none" w:sz="0" w:space="0" w:color="auto"/>
            <w:bottom w:val="none" w:sz="0" w:space="0" w:color="auto"/>
            <w:right w:val="none" w:sz="0" w:space="0" w:color="auto"/>
          </w:divBdr>
          <w:divsChild>
            <w:div w:id="1729526066">
              <w:marLeft w:val="0"/>
              <w:marRight w:val="0"/>
              <w:marTop w:val="0"/>
              <w:marBottom w:val="0"/>
              <w:divBdr>
                <w:top w:val="none" w:sz="0" w:space="0" w:color="auto"/>
                <w:left w:val="none" w:sz="0" w:space="0" w:color="auto"/>
                <w:bottom w:val="none" w:sz="0" w:space="0" w:color="auto"/>
                <w:right w:val="none" w:sz="0" w:space="0" w:color="auto"/>
              </w:divBdr>
              <w:divsChild>
                <w:div w:id="1254506453">
                  <w:marLeft w:val="0"/>
                  <w:marRight w:val="0"/>
                  <w:marTop w:val="0"/>
                  <w:marBottom w:val="0"/>
                  <w:divBdr>
                    <w:top w:val="none" w:sz="0" w:space="0" w:color="auto"/>
                    <w:left w:val="none" w:sz="0" w:space="0" w:color="auto"/>
                    <w:bottom w:val="none" w:sz="0" w:space="0" w:color="auto"/>
                    <w:right w:val="none" w:sz="0" w:space="0" w:color="auto"/>
                  </w:divBdr>
                  <w:divsChild>
                    <w:div w:id="347491569">
                      <w:marLeft w:val="0"/>
                      <w:marRight w:val="0"/>
                      <w:marTop w:val="0"/>
                      <w:marBottom w:val="0"/>
                      <w:divBdr>
                        <w:top w:val="none" w:sz="0" w:space="0" w:color="auto"/>
                        <w:left w:val="none" w:sz="0" w:space="0" w:color="auto"/>
                        <w:bottom w:val="none" w:sz="0" w:space="0" w:color="auto"/>
                        <w:right w:val="none" w:sz="0" w:space="0" w:color="auto"/>
                      </w:divBdr>
                      <w:divsChild>
                        <w:div w:id="551691187">
                          <w:marLeft w:val="0"/>
                          <w:marRight w:val="0"/>
                          <w:marTop w:val="0"/>
                          <w:marBottom w:val="0"/>
                          <w:divBdr>
                            <w:top w:val="none" w:sz="0" w:space="0" w:color="auto"/>
                            <w:left w:val="none" w:sz="0" w:space="0" w:color="auto"/>
                            <w:bottom w:val="none" w:sz="0" w:space="0" w:color="auto"/>
                            <w:right w:val="none" w:sz="0" w:space="0" w:color="auto"/>
                          </w:divBdr>
                          <w:divsChild>
                            <w:div w:id="1471630068">
                              <w:marLeft w:val="0"/>
                              <w:marRight w:val="0"/>
                              <w:marTop w:val="0"/>
                              <w:marBottom w:val="0"/>
                              <w:divBdr>
                                <w:top w:val="none" w:sz="0" w:space="0" w:color="auto"/>
                                <w:left w:val="none" w:sz="0" w:space="0" w:color="auto"/>
                                <w:bottom w:val="none" w:sz="0" w:space="0" w:color="auto"/>
                                <w:right w:val="none" w:sz="0" w:space="0" w:color="auto"/>
                              </w:divBdr>
                              <w:divsChild>
                                <w:div w:id="1330406052">
                                  <w:marLeft w:val="0"/>
                                  <w:marRight w:val="0"/>
                                  <w:marTop w:val="0"/>
                                  <w:marBottom w:val="0"/>
                                  <w:divBdr>
                                    <w:top w:val="none" w:sz="0" w:space="0" w:color="auto"/>
                                    <w:left w:val="none" w:sz="0" w:space="0" w:color="auto"/>
                                    <w:bottom w:val="none" w:sz="0" w:space="0" w:color="auto"/>
                                    <w:right w:val="none" w:sz="0" w:space="0" w:color="auto"/>
                                  </w:divBdr>
                                  <w:divsChild>
                                    <w:div w:id="957956299">
                                      <w:marLeft w:val="0"/>
                                      <w:marRight w:val="0"/>
                                      <w:marTop w:val="0"/>
                                      <w:marBottom w:val="0"/>
                                      <w:divBdr>
                                        <w:top w:val="none" w:sz="0" w:space="0" w:color="auto"/>
                                        <w:left w:val="none" w:sz="0" w:space="0" w:color="auto"/>
                                        <w:bottom w:val="none" w:sz="0" w:space="0" w:color="auto"/>
                                        <w:right w:val="none" w:sz="0" w:space="0" w:color="auto"/>
                                      </w:divBdr>
                                      <w:divsChild>
                                        <w:div w:id="2043088019">
                                          <w:marLeft w:val="0"/>
                                          <w:marRight w:val="0"/>
                                          <w:marTop w:val="0"/>
                                          <w:marBottom w:val="0"/>
                                          <w:divBdr>
                                            <w:top w:val="none" w:sz="0" w:space="0" w:color="auto"/>
                                            <w:left w:val="none" w:sz="0" w:space="0" w:color="auto"/>
                                            <w:bottom w:val="none" w:sz="0" w:space="0" w:color="auto"/>
                                            <w:right w:val="none" w:sz="0" w:space="0" w:color="auto"/>
                                          </w:divBdr>
                                          <w:divsChild>
                                            <w:div w:id="963391498">
                                              <w:marLeft w:val="0"/>
                                              <w:marRight w:val="0"/>
                                              <w:marTop w:val="0"/>
                                              <w:marBottom w:val="0"/>
                                              <w:divBdr>
                                                <w:top w:val="none" w:sz="0" w:space="0" w:color="auto"/>
                                                <w:left w:val="none" w:sz="0" w:space="0" w:color="auto"/>
                                                <w:bottom w:val="none" w:sz="0" w:space="0" w:color="auto"/>
                                                <w:right w:val="none" w:sz="0" w:space="0" w:color="auto"/>
                                              </w:divBdr>
                                              <w:divsChild>
                                                <w:div w:id="691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318">
                                          <w:marLeft w:val="0"/>
                                          <w:marRight w:val="0"/>
                                          <w:marTop w:val="0"/>
                                          <w:marBottom w:val="0"/>
                                          <w:divBdr>
                                            <w:top w:val="none" w:sz="0" w:space="0" w:color="auto"/>
                                            <w:left w:val="none" w:sz="0" w:space="0" w:color="auto"/>
                                            <w:bottom w:val="none" w:sz="0" w:space="0" w:color="auto"/>
                                            <w:right w:val="none" w:sz="0" w:space="0" w:color="auto"/>
                                          </w:divBdr>
                                          <w:divsChild>
                                            <w:div w:id="242835353">
                                              <w:marLeft w:val="0"/>
                                              <w:marRight w:val="0"/>
                                              <w:marTop w:val="0"/>
                                              <w:marBottom w:val="0"/>
                                              <w:divBdr>
                                                <w:top w:val="none" w:sz="0" w:space="0" w:color="auto"/>
                                                <w:left w:val="none" w:sz="0" w:space="0" w:color="auto"/>
                                                <w:bottom w:val="none" w:sz="0" w:space="0" w:color="auto"/>
                                                <w:right w:val="none" w:sz="0" w:space="0" w:color="auto"/>
                                              </w:divBdr>
                                              <w:divsChild>
                                                <w:div w:id="1818297254">
                                                  <w:marLeft w:val="0"/>
                                                  <w:marRight w:val="0"/>
                                                  <w:marTop w:val="0"/>
                                                  <w:marBottom w:val="0"/>
                                                  <w:divBdr>
                                                    <w:top w:val="none" w:sz="0" w:space="0" w:color="auto"/>
                                                    <w:left w:val="none" w:sz="0" w:space="0" w:color="auto"/>
                                                    <w:bottom w:val="none" w:sz="0" w:space="0" w:color="auto"/>
                                                    <w:right w:val="none" w:sz="0" w:space="0" w:color="auto"/>
                                                  </w:divBdr>
                                                  <w:divsChild>
                                                    <w:div w:id="108283583">
                                                      <w:marLeft w:val="0"/>
                                                      <w:marRight w:val="0"/>
                                                      <w:marTop w:val="0"/>
                                                      <w:marBottom w:val="0"/>
                                                      <w:divBdr>
                                                        <w:top w:val="none" w:sz="0" w:space="0" w:color="auto"/>
                                                        <w:left w:val="none" w:sz="0" w:space="0" w:color="auto"/>
                                                        <w:bottom w:val="none" w:sz="0" w:space="0" w:color="auto"/>
                                                        <w:right w:val="none" w:sz="0" w:space="0" w:color="auto"/>
                                                      </w:divBdr>
                                                    </w:div>
                                                    <w:div w:id="1498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187">
                                              <w:marLeft w:val="0"/>
                                              <w:marRight w:val="0"/>
                                              <w:marTop w:val="0"/>
                                              <w:marBottom w:val="0"/>
                                              <w:divBdr>
                                                <w:top w:val="none" w:sz="0" w:space="0" w:color="auto"/>
                                                <w:left w:val="none" w:sz="0" w:space="0" w:color="auto"/>
                                                <w:bottom w:val="none" w:sz="0" w:space="0" w:color="auto"/>
                                                <w:right w:val="none" w:sz="0" w:space="0" w:color="auto"/>
                                              </w:divBdr>
                                              <w:divsChild>
                                                <w:div w:id="1784957733">
                                                  <w:marLeft w:val="0"/>
                                                  <w:marRight w:val="0"/>
                                                  <w:marTop w:val="0"/>
                                                  <w:marBottom w:val="0"/>
                                                  <w:divBdr>
                                                    <w:top w:val="none" w:sz="0" w:space="0" w:color="auto"/>
                                                    <w:left w:val="none" w:sz="0" w:space="0" w:color="auto"/>
                                                    <w:bottom w:val="none" w:sz="0" w:space="0" w:color="auto"/>
                                                    <w:right w:val="none" w:sz="0" w:space="0" w:color="auto"/>
                                                  </w:divBdr>
                                                  <w:divsChild>
                                                    <w:div w:id="966810875">
                                                      <w:marLeft w:val="0"/>
                                                      <w:marRight w:val="0"/>
                                                      <w:marTop w:val="0"/>
                                                      <w:marBottom w:val="0"/>
                                                      <w:divBdr>
                                                        <w:top w:val="none" w:sz="0" w:space="0" w:color="auto"/>
                                                        <w:left w:val="none" w:sz="0" w:space="0" w:color="auto"/>
                                                        <w:bottom w:val="none" w:sz="0" w:space="0" w:color="auto"/>
                                                        <w:right w:val="none" w:sz="0" w:space="0" w:color="auto"/>
                                                      </w:divBdr>
                                                    </w:div>
                                                    <w:div w:id="8346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029251">
      <w:bodyDiv w:val="1"/>
      <w:marLeft w:val="0"/>
      <w:marRight w:val="0"/>
      <w:marTop w:val="0"/>
      <w:marBottom w:val="0"/>
      <w:divBdr>
        <w:top w:val="none" w:sz="0" w:space="0" w:color="auto"/>
        <w:left w:val="none" w:sz="0" w:space="0" w:color="auto"/>
        <w:bottom w:val="none" w:sz="0" w:space="0" w:color="auto"/>
        <w:right w:val="none" w:sz="0" w:space="0" w:color="auto"/>
      </w:divBdr>
      <w:divsChild>
        <w:div w:id="1377200013">
          <w:marLeft w:val="0"/>
          <w:marRight w:val="0"/>
          <w:marTop w:val="0"/>
          <w:marBottom w:val="0"/>
          <w:divBdr>
            <w:top w:val="none" w:sz="0" w:space="0" w:color="auto"/>
            <w:left w:val="none" w:sz="0" w:space="0" w:color="auto"/>
            <w:bottom w:val="none" w:sz="0" w:space="0" w:color="auto"/>
            <w:right w:val="none" w:sz="0" w:space="0" w:color="auto"/>
          </w:divBdr>
          <w:divsChild>
            <w:div w:id="866017512">
              <w:marLeft w:val="0"/>
              <w:marRight w:val="0"/>
              <w:marTop w:val="0"/>
              <w:marBottom w:val="0"/>
              <w:divBdr>
                <w:top w:val="none" w:sz="0" w:space="0" w:color="auto"/>
                <w:left w:val="none" w:sz="0" w:space="0" w:color="auto"/>
                <w:bottom w:val="none" w:sz="0" w:space="0" w:color="auto"/>
                <w:right w:val="none" w:sz="0" w:space="0" w:color="auto"/>
              </w:divBdr>
              <w:divsChild>
                <w:div w:id="1813323272">
                  <w:marLeft w:val="0"/>
                  <w:marRight w:val="0"/>
                  <w:marTop w:val="0"/>
                  <w:marBottom w:val="0"/>
                  <w:divBdr>
                    <w:top w:val="none" w:sz="0" w:space="0" w:color="auto"/>
                    <w:left w:val="none" w:sz="0" w:space="0" w:color="auto"/>
                    <w:bottom w:val="none" w:sz="0" w:space="0" w:color="auto"/>
                    <w:right w:val="none" w:sz="0" w:space="0" w:color="auto"/>
                  </w:divBdr>
                  <w:divsChild>
                    <w:div w:id="537812781">
                      <w:marLeft w:val="0"/>
                      <w:marRight w:val="0"/>
                      <w:marTop w:val="0"/>
                      <w:marBottom w:val="0"/>
                      <w:divBdr>
                        <w:top w:val="none" w:sz="0" w:space="0" w:color="auto"/>
                        <w:left w:val="none" w:sz="0" w:space="0" w:color="auto"/>
                        <w:bottom w:val="none" w:sz="0" w:space="0" w:color="auto"/>
                        <w:right w:val="none" w:sz="0" w:space="0" w:color="auto"/>
                      </w:divBdr>
                      <w:divsChild>
                        <w:div w:id="2045597252">
                          <w:marLeft w:val="0"/>
                          <w:marRight w:val="0"/>
                          <w:marTop w:val="0"/>
                          <w:marBottom w:val="0"/>
                          <w:divBdr>
                            <w:top w:val="none" w:sz="0" w:space="0" w:color="auto"/>
                            <w:left w:val="none" w:sz="0" w:space="0" w:color="auto"/>
                            <w:bottom w:val="none" w:sz="0" w:space="0" w:color="auto"/>
                            <w:right w:val="none" w:sz="0" w:space="0" w:color="auto"/>
                          </w:divBdr>
                          <w:divsChild>
                            <w:div w:id="621885614">
                              <w:marLeft w:val="0"/>
                              <w:marRight w:val="0"/>
                              <w:marTop w:val="0"/>
                              <w:marBottom w:val="0"/>
                              <w:divBdr>
                                <w:top w:val="none" w:sz="0" w:space="0" w:color="auto"/>
                                <w:left w:val="none" w:sz="0" w:space="0" w:color="auto"/>
                                <w:bottom w:val="none" w:sz="0" w:space="0" w:color="auto"/>
                                <w:right w:val="none" w:sz="0" w:space="0" w:color="auto"/>
                              </w:divBdr>
                              <w:divsChild>
                                <w:div w:id="2098285764">
                                  <w:marLeft w:val="0"/>
                                  <w:marRight w:val="0"/>
                                  <w:marTop w:val="0"/>
                                  <w:marBottom w:val="0"/>
                                  <w:divBdr>
                                    <w:top w:val="none" w:sz="0" w:space="0" w:color="auto"/>
                                    <w:left w:val="none" w:sz="0" w:space="0" w:color="auto"/>
                                    <w:bottom w:val="none" w:sz="0" w:space="0" w:color="auto"/>
                                    <w:right w:val="none" w:sz="0" w:space="0" w:color="auto"/>
                                  </w:divBdr>
                                  <w:divsChild>
                                    <w:div w:id="509413670">
                                      <w:marLeft w:val="0"/>
                                      <w:marRight w:val="0"/>
                                      <w:marTop w:val="0"/>
                                      <w:marBottom w:val="0"/>
                                      <w:divBdr>
                                        <w:top w:val="none" w:sz="0" w:space="0" w:color="auto"/>
                                        <w:left w:val="none" w:sz="0" w:space="0" w:color="auto"/>
                                        <w:bottom w:val="none" w:sz="0" w:space="0" w:color="auto"/>
                                        <w:right w:val="none" w:sz="0" w:space="0" w:color="auto"/>
                                      </w:divBdr>
                                      <w:divsChild>
                                        <w:div w:id="1796026125">
                                          <w:marLeft w:val="0"/>
                                          <w:marRight w:val="0"/>
                                          <w:marTop w:val="0"/>
                                          <w:marBottom w:val="0"/>
                                          <w:divBdr>
                                            <w:top w:val="none" w:sz="0" w:space="0" w:color="auto"/>
                                            <w:left w:val="none" w:sz="0" w:space="0" w:color="auto"/>
                                            <w:bottom w:val="none" w:sz="0" w:space="0" w:color="auto"/>
                                            <w:right w:val="none" w:sz="0" w:space="0" w:color="auto"/>
                                          </w:divBdr>
                                          <w:divsChild>
                                            <w:div w:id="1335304587">
                                              <w:marLeft w:val="0"/>
                                              <w:marRight w:val="0"/>
                                              <w:marTop w:val="0"/>
                                              <w:marBottom w:val="0"/>
                                              <w:divBdr>
                                                <w:top w:val="none" w:sz="0" w:space="0" w:color="auto"/>
                                                <w:left w:val="none" w:sz="0" w:space="0" w:color="auto"/>
                                                <w:bottom w:val="none" w:sz="0" w:space="0" w:color="auto"/>
                                                <w:right w:val="none" w:sz="0" w:space="0" w:color="auto"/>
                                              </w:divBdr>
                                              <w:divsChild>
                                                <w:div w:id="10901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465954">
      <w:bodyDiv w:val="1"/>
      <w:marLeft w:val="0"/>
      <w:marRight w:val="0"/>
      <w:marTop w:val="0"/>
      <w:marBottom w:val="0"/>
      <w:divBdr>
        <w:top w:val="none" w:sz="0" w:space="0" w:color="auto"/>
        <w:left w:val="none" w:sz="0" w:space="0" w:color="auto"/>
        <w:bottom w:val="none" w:sz="0" w:space="0" w:color="auto"/>
        <w:right w:val="none" w:sz="0" w:space="0" w:color="auto"/>
      </w:divBdr>
      <w:divsChild>
        <w:div w:id="749040552">
          <w:marLeft w:val="0"/>
          <w:marRight w:val="0"/>
          <w:marTop w:val="0"/>
          <w:marBottom w:val="0"/>
          <w:divBdr>
            <w:top w:val="none" w:sz="0" w:space="0" w:color="auto"/>
            <w:left w:val="none" w:sz="0" w:space="0" w:color="auto"/>
            <w:bottom w:val="none" w:sz="0" w:space="0" w:color="auto"/>
            <w:right w:val="none" w:sz="0" w:space="0" w:color="auto"/>
          </w:divBdr>
          <w:divsChild>
            <w:div w:id="292564306">
              <w:marLeft w:val="0"/>
              <w:marRight w:val="0"/>
              <w:marTop w:val="0"/>
              <w:marBottom w:val="0"/>
              <w:divBdr>
                <w:top w:val="none" w:sz="0" w:space="0" w:color="auto"/>
                <w:left w:val="none" w:sz="0" w:space="0" w:color="auto"/>
                <w:bottom w:val="none" w:sz="0" w:space="0" w:color="auto"/>
                <w:right w:val="none" w:sz="0" w:space="0" w:color="auto"/>
              </w:divBdr>
              <w:divsChild>
                <w:div w:id="956982006">
                  <w:marLeft w:val="0"/>
                  <w:marRight w:val="0"/>
                  <w:marTop w:val="0"/>
                  <w:marBottom w:val="0"/>
                  <w:divBdr>
                    <w:top w:val="none" w:sz="0" w:space="0" w:color="auto"/>
                    <w:left w:val="none" w:sz="0" w:space="0" w:color="auto"/>
                    <w:bottom w:val="none" w:sz="0" w:space="0" w:color="auto"/>
                    <w:right w:val="none" w:sz="0" w:space="0" w:color="auto"/>
                  </w:divBdr>
                  <w:divsChild>
                    <w:div w:id="1510102057">
                      <w:marLeft w:val="0"/>
                      <w:marRight w:val="0"/>
                      <w:marTop w:val="0"/>
                      <w:marBottom w:val="0"/>
                      <w:divBdr>
                        <w:top w:val="none" w:sz="0" w:space="0" w:color="auto"/>
                        <w:left w:val="none" w:sz="0" w:space="0" w:color="auto"/>
                        <w:bottom w:val="none" w:sz="0" w:space="0" w:color="auto"/>
                        <w:right w:val="none" w:sz="0" w:space="0" w:color="auto"/>
                      </w:divBdr>
                      <w:divsChild>
                        <w:div w:id="221143353">
                          <w:marLeft w:val="0"/>
                          <w:marRight w:val="0"/>
                          <w:marTop w:val="0"/>
                          <w:marBottom w:val="0"/>
                          <w:divBdr>
                            <w:top w:val="none" w:sz="0" w:space="0" w:color="auto"/>
                            <w:left w:val="none" w:sz="0" w:space="0" w:color="auto"/>
                            <w:bottom w:val="none" w:sz="0" w:space="0" w:color="auto"/>
                            <w:right w:val="none" w:sz="0" w:space="0" w:color="auto"/>
                          </w:divBdr>
                          <w:divsChild>
                            <w:div w:id="929433707">
                              <w:marLeft w:val="0"/>
                              <w:marRight w:val="0"/>
                              <w:marTop w:val="0"/>
                              <w:marBottom w:val="0"/>
                              <w:divBdr>
                                <w:top w:val="none" w:sz="0" w:space="0" w:color="auto"/>
                                <w:left w:val="none" w:sz="0" w:space="0" w:color="auto"/>
                                <w:bottom w:val="none" w:sz="0" w:space="0" w:color="auto"/>
                                <w:right w:val="none" w:sz="0" w:space="0" w:color="auto"/>
                              </w:divBdr>
                              <w:divsChild>
                                <w:div w:id="1636568480">
                                  <w:marLeft w:val="0"/>
                                  <w:marRight w:val="0"/>
                                  <w:marTop w:val="0"/>
                                  <w:marBottom w:val="0"/>
                                  <w:divBdr>
                                    <w:top w:val="none" w:sz="0" w:space="0" w:color="auto"/>
                                    <w:left w:val="none" w:sz="0" w:space="0" w:color="auto"/>
                                    <w:bottom w:val="none" w:sz="0" w:space="0" w:color="auto"/>
                                    <w:right w:val="none" w:sz="0" w:space="0" w:color="auto"/>
                                  </w:divBdr>
                                  <w:divsChild>
                                    <w:div w:id="1352336874">
                                      <w:marLeft w:val="0"/>
                                      <w:marRight w:val="0"/>
                                      <w:marTop w:val="0"/>
                                      <w:marBottom w:val="0"/>
                                      <w:divBdr>
                                        <w:top w:val="none" w:sz="0" w:space="0" w:color="auto"/>
                                        <w:left w:val="none" w:sz="0" w:space="0" w:color="auto"/>
                                        <w:bottom w:val="none" w:sz="0" w:space="0" w:color="auto"/>
                                        <w:right w:val="none" w:sz="0" w:space="0" w:color="auto"/>
                                      </w:divBdr>
                                      <w:divsChild>
                                        <w:div w:id="1816608234">
                                          <w:marLeft w:val="0"/>
                                          <w:marRight w:val="0"/>
                                          <w:marTop w:val="0"/>
                                          <w:marBottom w:val="0"/>
                                          <w:divBdr>
                                            <w:top w:val="none" w:sz="0" w:space="0" w:color="auto"/>
                                            <w:left w:val="none" w:sz="0" w:space="0" w:color="auto"/>
                                            <w:bottom w:val="none" w:sz="0" w:space="0" w:color="auto"/>
                                            <w:right w:val="none" w:sz="0" w:space="0" w:color="auto"/>
                                          </w:divBdr>
                                          <w:divsChild>
                                            <w:div w:id="1188643741">
                                              <w:marLeft w:val="0"/>
                                              <w:marRight w:val="0"/>
                                              <w:marTop w:val="0"/>
                                              <w:marBottom w:val="0"/>
                                              <w:divBdr>
                                                <w:top w:val="none" w:sz="0" w:space="0" w:color="auto"/>
                                                <w:left w:val="none" w:sz="0" w:space="0" w:color="auto"/>
                                                <w:bottom w:val="none" w:sz="0" w:space="0" w:color="auto"/>
                                                <w:right w:val="none" w:sz="0" w:space="0" w:color="auto"/>
                                              </w:divBdr>
                                              <w:divsChild>
                                                <w:div w:id="149442410">
                                                  <w:marLeft w:val="0"/>
                                                  <w:marRight w:val="0"/>
                                                  <w:marTop w:val="0"/>
                                                  <w:marBottom w:val="0"/>
                                                  <w:divBdr>
                                                    <w:top w:val="none" w:sz="0" w:space="0" w:color="auto"/>
                                                    <w:left w:val="none" w:sz="0" w:space="0" w:color="auto"/>
                                                    <w:bottom w:val="none" w:sz="0" w:space="0" w:color="auto"/>
                                                    <w:right w:val="none" w:sz="0" w:space="0" w:color="auto"/>
                                                  </w:divBdr>
                                                  <w:divsChild>
                                                    <w:div w:id="1654798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844977523">
      <w:bodyDiv w:val="1"/>
      <w:marLeft w:val="0"/>
      <w:marRight w:val="0"/>
      <w:marTop w:val="0"/>
      <w:marBottom w:val="0"/>
      <w:divBdr>
        <w:top w:val="none" w:sz="0" w:space="0" w:color="auto"/>
        <w:left w:val="none" w:sz="0" w:space="0" w:color="auto"/>
        <w:bottom w:val="none" w:sz="0" w:space="0" w:color="auto"/>
        <w:right w:val="none" w:sz="0" w:space="0" w:color="auto"/>
      </w:divBdr>
      <w:divsChild>
        <w:div w:id="886725089">
          <w:marLeft w:val="0"/>
          <w:marRight w:val="0"/>
          <w:marTop w:val="0"/>
          <w:marBottom w:val="0"/>
          <w:divBdr>
            <w:top w:val="none" w:sz="0" w:space="0" w:color="auto"/>
            <w:left w:val="none" w:sz="0" w:space="0" w:color="auto"/>
            <w:bottom w:val="none" w:sz="0" w:space="0" w:color="auto"/>
            <w:right w:val="none" w:sz="0" w:space="0" w:color="auto"/>
          </w:divBdr>
          <w:divsChild>
            <w:div w:id="549150955">
              <w:marLeft w:val="0"/>
              <w:marRight w:val="0"/>
              <w:marTop w:val="0"/>
              <w:marBottom w:val="0"/>
              <w:divBdr>
                <w:top w:val="none" w:sz="0" w:space="0" w:color="auto"/>
                <w:left w:val="none" w:sz="0" w:space="0" w:color="auto"/>
                <w:bottom w:val="none" w:sz="0" w:space="0" w:color="auto"/>
                <w:right w:val="none" w:sz="0" w:space="0" w:color="auto"/>
              </w:divBdr>
              <w:divsChild>
                <w:div w:id="1383366372">
                  <w:marLeft w:val="0"/>
                  <w:marRight w:val="0"/>
                  <w:marTop w:val="0"/>
                  <w:marBottom w:val="0"/>
                  <w:divBdr>
                    <w:top w:val="none" w:sz="0" w:space="0" w:color="auto"/>
                    <w:left w:val="none" w:sz="0" w:space="0" w:color="auto"/>
                    <w:bottom w:val="none" w:sz="0" w:space="0" w:color="auto"/>
                    <w:right w:val="none" w:sz="0" w:space="0" w:color="auto"/>
                  </w:divBdr>
                  <w:divsChild>
                    <w:div w:id="1968313114">
                      <w:marLeft w:val="0"/>
                      <w:marRight w:val="0"/>
                      <w:marTop w:val="0"/>
                      <w:marBottom w:val="0"/>
                      <w:divBdr>
                        <w:top w:val="none" w:sz="0" w:space="0" w:color="auto"/>
                        <w:left w:val="none" w:sz="0" w:space="0" w:color="auto"/>
                        <w:bottom w:val="none" w:sz="0" w:space="0" w:color="auto"/>
                        <w:right w:val="none" w:sz="0" w:space="0" w:color="auto"/>
                      </w:divBdr>
                      <w:divsChild>
                        <w:div w:id="582184361">
                          <w:marLeft w:val="0"/>
                          <w:marRight w:val="0"/>
                          <w:marTop w:val="0"/>
                          <w:marBottom w:val="0"/>
                          <w:divBdr>
                            <w:top w:val="none" w:sz="0" w:space="0" w:color="auto"/>
                            <w:left w:val="none" w:sz="0" w:space="0" w:color="auto"/>
                            <w:bottom w:val="none" w:sz="0" w:space="0" w:color="auto"/>
                            <w:right w:val="none" w:sz="0" w:space="0" w:color="auto"/>
                          </w:divBdr>
                          <w:divsChild>
                            <w:div w:id="2001350356">
                              <w:marLeft w:val="0"/>
                              <w:marRight w:val="0"/>
                              <w:marTop w:val="0"/>
                              <w:marBottom w:val="0"/>
                              <w:divBdr>
                                <w:top w:val="none" w:sz="0" w:space="0" w:color="auto"/>
                                <w:left w:val="none" w:sz="0" w:space="0" w:color="auto"/>
                                <w:bottom w:val="none" w:sz="0" w:space="0" w:color="auto"/>
                                <w:right w:val="none" w:sz="0" w:space="0" w:color="auto"/>
                              </w:divBdr>
                              <w:divsChild>
                                <w:div w:id="1457989601">
                                  <w:marLeft w:val="0"/>
                                  <w:marRight w:val="0"/>
                                  <w:marTop w:val="0"/>
                                  <w:marBottom w:val="0"/>
                                  <w:divBdr>
                                    <w:top w:val="none" w:sz="0" w:space="0" w:color="auto"/>
                                    <w:left w:val="none" w:sz="0" w:space="0" w:color="auto"/>
                                    <w:bottom w:val="none" w:sz="0" w:space="0" w:color="auto"/>
                                    <w:right w:val="none" w:sz="0" w:space="0" w:color="auto"/>
                                  </w:divBdr>
                                  <w:divsChild>
                                    <w:div w:id="288980416">
                                      <w:marLeft w:val="0"/>
                                      <w:marRight w:val="0"/>
                                      <w:marTop w:val="0"/>
                                      <w:marBottom w:val="0"/>
                                      <w:divBdr>
                                        <w:top w:val="none" w:sz="0" w:space="0" w:color="auto"/>
                                        <w:left w:val="none" w:sz="0" w:space="0" w:color="auto"/>
                                        <w:bottom w:val="none" w:sz="0" w:space="0" w:color="auto"/>
                                        <w:right w:val="none" w:sz="0" w:space="0" w:color="auto"/>
                                      </w:divBdr>
                                      <w:divsChild>
                                        <w:div w:id="10560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0119">
                          <w:marLeft w:val="0"/>
                          <w:marRight w:val="0"/>
                          <w:marTop w:val="0"/>
                          <w:marBottom w:val="0"/>
                          <w:divBdr>
                            <w:top w:val="none" w:sz="0" w:space="0" w:color="auto"/>
                            <w:left w:val="none" w:sz="0" w:space="0" w:color="auto"/>
                            <w:bottom w:val="none" w:sz="0" w:space="0" w:color="auto"/>
                            <w:right w:val="none" w:sz="0" w:space="0" w:color="auto"/>
                          </w:divBdr>
                          <w:divsChild>
                            <w:div w:id="91702966">
                              <w:marLeft w:val="0"/>
                              <w:marRight w:val="0"/>
                              <w:marTop w:val="0"/>
                              <w:marBottom w:val="0"/>
                              <w:divBdr>
                                <w:top w:val="none" w:sz="0" w:space="0" w:color="auto"/>
                                <w:left w:val="none" w:sz="0" w:space="0" w:color="auto"/>
                                <w:bottom w:val="none" w:sz="0" w:space="0" w:color="auto"/>
                                <w:right w:val="none" w:sz="0" w:space="0" w:color="auto"/>
                              </w:divBdr>
                              <w:divsChild>
                                <w:div w:id="608895410">
                                  <w:marLeft w:val="0"/>
                                  <w:marRight w:val="0"/>
                                  <w:marTop w:val="0"/>
                                  <w:marBottom w:val="0"/>
                                  <w:divBdr>
                                    <w:top w:val="none" w:sz="0" w:space="0" w:color="auto"/>
                                    <w:left w:val="none" w:sz="0" w:space="0" w:color="auto"/>
                                    <w:bottom w:val="none" w:sz="0" w:space="0" w:color="auto"/>
                                    <w:right w:val="none" w:sz="0" w:space="0" w:color="auto"/>
                                  </w:divBdr>
                                  <w:divsChild>
                                    <w:div w:id="1992169271">
                                      <w:marLeft w:val="0"/>
                                      <w:marRight w:val="0"/>
                                      <w:marTop w:val="0"/>
                                      <w:marBottom w:val="0"/>
                                      <w:divBdr>
                                        <w:top w:val="none" w:sz="0" w:space="0" w:color="auto"/>
                                        <w:left w:val="none" w:sz="0" w:space="0" w:color="auto"/>
                                        <w:bottom w:val="none" w:sz="0" w:space="0" w:color="auto"/>
                                        <w:right w:val="none" w:sz="0" w:space="0" w:color="auto"/>
                                      </w:divBdr>
                                      <w:divsChild>
                                        <w:div w:id="45880172">
                                          <w:marLeft w:val="0"/>
                                          <w:marRight w:val="0"/>
                                          <w:marTop w:val="0"/>
                                          <w:marBottom w:val="0"/>
                                          <w:divBdr>
                                            <w:top w:val="none" w:sz="0" w:space="0" w:color="auto"/>
                                            <w:left w:val="none" w:sz="0" w:space="0" w:color="auto"/>
                                            <w:bottom w:val="none" w:sz="0" w:space="0" w:color="auto"/>
                                            <w:right w:val="none" w:sz="0" w:space="0" w:color="auto"/>
                                          </w:divBdr>
                                          <w:divsChild>
                                            <w:div w:id="128059176">
                                              <w:marLeft w:val="0"/>
                                              <w:marRight w:val="0"/>
                                              <w:marTop w:val="0"/>
                                              <w:marBottom w:val="0"/>
                                              <w:divBdr>
                                                <w:top w:val="none" w:sz="0" w:space="0" w:color="auto"/>
                                                <w:left w:val="none" w:sz="0" w:space="0" w:color="auto"/>
                                                <w:bottom w:val="none" w:sz="0" w:space="0" w:color="auto"/>
                                                <w:right w:val="none" w:sz="0" w:space="0" w:color="auto"/>
                                              </w:divBdr>
                                              <w:divsChild>
                                                <w:div w:id="427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418">
                                          <w:marLeft w:val="0"/>
                                          <w:marRight w:val="0"/>
                                          <w:marTop w:val="0"/>
                                          <w:marBottom w:val="0"/>
                                          <w:divBdr>
                                            <w:top w:val="none" w:sz="0" w:space="0" w:color="auto"/>
                                            <w:left w:val="none" w:sz="0" w:space="0" w:color="auto"/>
                                            <w:bottom w:val="none" w:sz="0" w:space="0" w:color="auto"/>
                                            <w:right w:val="none" w:sz="0" w:space="0" w:color="auto"/>
                                          </w:divBdr>
                                          <w:divsChild>
                                            <w:div w:id="684404083">
                                              <w:marLeft w:val="0"/>
                                              <w:marRight w:val="0"/>
                                              <w:marTop w:val="0"/>
                                              <w:marBottom w:val="0"/>
                                              <w:divBdr>
                                                <w:top w:val="none" w:sz="0" w:space="0" w:color="auto"/>
                                                <w:left w:val="none" w:sz="0" w:space="0" w:color="auto"/>
                                                <w:bottom w:val="none" w:sz="0" w:space="0" w:color="auto"/>
                                                <w:right w:val="none" w:sz="0" w:space="0" w:color="auto"/>
                                              </w:divBdr>
                                              <w:divsChild>
                                                <w:div w:id="226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768150">
      <w:bodyDiv w:val="1"/>
      <w:marLeft w:val="0"/>
      <w:marRight w:val="0"/>
      <w:marTop w:val="0"/>
      <w:marBottom w:val="0"/>
      <w:divBdr>
        <w:top w:val="none" w:sz="0" w:space="0" w:color="auto"/>
        <w:left w:val="none" w:sz="0" w:space="0" w:color="auto"/>
        <w:bottom w:val="none" w:sz="0" w:space="0" w:color="auto"/>
        <w:right w:val="none" w:sz="0" w:space="0" w:color="auto"/>
      </w:divBdr>
      <w:divsChild>
        <w:div w:id="1743679711">
          <w:marLeft w:val="0"/>
          <w:marRight w:val="0"/>
          <w:marTop w:val="0"/>
          <w:marBottom w:val="0"/>
          <w:divBdr>
            <w:top w:val="none" w:sz="0" w:space="0" w:color="auto"/>
            <w:left w:val="none" w:sz="0" w:space="0" w:color="auto"/>
            <w:bottom w:val="none" w:sz="0" w:space="0" w:color="auto"/>
            <w:right w:val="none" w:sz="0" w:space="0" w:color="auto"/>
          </w:divBdr>
          <w:divsChild>
            <w:div w:id="470947934">
              <w:marLeft w:val="0"/>
              <w:marRight w:val="0"/>
              <w:marTop w:val="0"/>
              <w:marBottom w:val="0"/>
              <w:divBdr>
                <w:top w:val="none" w:sz="0" w:space="0" w:color="auto"/>
                <w:left w:val="none" w:sz="0" w:space="0" w:color="auto"/>
                <w:bottom w:val="none" w:sz="0" w:space="0" w:color="auto"/>
                <w:right w:val="none" w:sz="0" w:space="0" w:color="auto"/>
              </w:divBdr>
              <w:divsChild>
                <w:div w:id="637225526">
                  <w:marLeft w:val="0"/>
                  <w:marRight w:val="0"/>
                  <w:marTop w:val="0"/>
                  <w:marBottom w:val="0"/>
                  <w:divBdr>
                    <w:top w:val="none" w:sz="0" w:space="0" w:color="auto"/>
                    <w:left w:val="none" w:sz="0" w:space="0" w:color="auto"/>
                    <w:bottom w:val="none" w:sz="0" w:space="0" w:color="auto"/>
                    <w:right w:val="none" w:sz="0" w:space="0" w:color="auto"/>
                  </w:divBdr>
                  <w:divsChild>
                    <w:div w:id="346834746">
                      <w:marLeft w:val="0"/>
                      <w:marRight w:val="0"/>
                      <w:marTop w:val="0"/>
                      <w:marBottom w:val="0"/>
                      <w:divBdr>
                        <w:top w:val="none" w:sz="0" w:space="0" w:color="auto"/>
                        <w:left w:val="none" w:sz="0" w:space="0" w:color="auto"/>
                        <w:bottom w:val="none" w:sz="0" w:space="0" w:color="auto"/>
                        <w:right w:val="none" w:sz="0" w:space="0" w:color="auto"/>
                      </w:divBdr>
                      <w:divsChild>
                        <w:div w:id="694623431">
                          <w:marLeft w:val="0"/>
                          <w:marRight w:val="0"/>
                          <w:marTop w:val="0"/>
                          <w:marBottom w:val="0"/>
                          <w:divBdr>
                            <w:top w:val="none" w:sz="0" w:space="0" w:color="auto"/>
                            <w:left w:val="none" w:sz="0" w:space="0" w:color="auto"/>
                            <w:bottom w:val="none" w:sz="0" w:space="0" w:color="auto"/>
                            <w:right w:val="none" w:sz="0" w:space="0" w:color="auto"/>
                          </w:divBdr>
                          <w:divsChild>
                            <w:div w:id="261568984">
                              <w:marLeft w:val="0"/>
                              <w:marRight w:val="0"/>
                              <w:marTop w:val="0"/>
                              <w:marBottom w:val="0"/>
                              <w:divBdr>
                                <w:top w:val="none" w:sz="0" w:space="0" w:color="auto"/>
                                <w:left w:val="none" w:sz="0" w:space="0" w:color="auto"/>
                                <w:bottom w:val="none" w:sz="0" w:space="0" w:color="auto"/>
                                <w:right w:val="none" w:sz="0" w:space="0" w:color="auto"/>
                              </w:divBdr>
                              <w:divsChild>
                                <w:div w:id="482090083">
                                  <w:marLeft w:val="0"/>
                                  <w:marRight w:val="0"/>
                                  <w:marTop w:val="0"/>
                                  <w:marBottom w:val="0"/>
                                  <w:divBdr>
                                    <w:top w:val="none" w:sz="0" w:space="0" w:color="auto"/>
                                    <w:left w:val="none" w:sz="0" w:space="0" w:color="auto"/>
                                    <w:bottom w:val="none" w:sz="0" w:space="0" w:color="auto"/>
                                    <w:right w:val="none" w:sz="0" w:space="0" w:color="auto"/>
                                  </w:divBdr>
                                  <w:divsChild>
                                    <w:div w:id="903880730">
                                      <w:marLeft w:val="0"/>
                                      <w:marRight w:val="0"/>
                                      <w:marTop w:val="0"/>
                                      <w:marBottom w:val="0"/>
                                      <w:divBdr>
                                        <w:top w:val="none" w:sz="0" w:space="0" w:color="auto"/>
                                        <w:left w:val="none" w:sz="0" w:space="0" w:color="auto"/>
                                        <w:bottom w:val="none" w:sz="0" w:space="0" w:color="auto"/>
                                        <w:right w:val="none" w:sz="0" w:space="0" w:color="auto"/>
                                      </w:divBdr>
                                      <w:divsChild>
                                        <w:div w:id="2049262378">
                                          <w:marLeft w:val="0"/>
                                          <w:marRight w:val="0"/>
                                          <w:marTop w:val="0"/>
                                          <w:marBottom w:val="0"/>
                                          <w:divBdr>
                                            <w:top w:val="none" w:sz="0" w:space="0" w:color="auto"/>
                                            <w:left w:val="none" w:sz="0" w:space="0" w:color="auto"/>
                                            <w:bottom w:val="none" w:sz="0" w:space="0" w:color="auto"/>
                                            <w:right w:val="none" w:sz="0" w:space="0" w:color="auto"/>
                                          </w:divBdr>
                                          <w:divsChild>
                                            <w:div w:id="1189903569">
                                              <w:marLeft w:val="0"/>
                                              <w:marRight w:val="0"/>
                                              <w:marTop w:val="0"/>
                                              <w:marBottom w:val="0"/>
                                              <w:divBdr>
                                                <w:top w:val="none" w:sz="0" w:space="0" w:color="auto"/>
                                                <w:left w:val="none" w:sz="0" w:space="0" w:color="auto"/>
                                                <w:bottom w:val="none" w:sz="0" w:space="0" w:color="auto"/>
                                                <w:right w:val="none" w:sz="0" w:space="0" w:color="auto"/>
                                              </w:divBdr>
                                              <w:divsChild>
                                                <w:div w:id="1717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41996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9">
          <w:marLeft w:val="0"/>
          <w:marRight w:val="0"/>
          <w:marTop w:val="0"/>
          <w:marBottom w:val="0"/>
          <w:divBdr>
            <w:top w:val="none" w:sz="0" w:space="0" w:color="auto"/>
            <w:left w:val="none" w:sz="0" w:space="0" w:color="auto"/>
            <w:bottom w:val="none" w:sz="0" w:space="0" w:color="auto"/>
            <w:right w:val="none" w:sz="0" w:space="0" w:color="auto"/>
          </w:divBdr>
          <w:divsChild>
            <w:div w:id="539439595">
              <w:marLeft w:val="0"/>
              <w:marRight w:val="0"/>
              <w:marTop w:val="0"/>
              <w:marBottom w:val="0"/>
              <w:divBdr>
                <w:top w:val="none" w:sz="0" w:space="0" w:color="auto"/>
                <w:left w:val="none" w:sz="0" w:space="0" w:color="auto"/>
                <w:bottom w:val="none" w:sz="0" w:space="0" w:color="auto"/>
                <w:right w:val="none" w:sz="0" w:space="0" w:color="auto"/>
              </w:divBdr>
              <w:divsChild>
                <w:div w:id="230165736">
                  <w:marLeft w:val="0"/>
                  <w:marRight w:val="0"/>
                  <w:marTop w:val="0"/>
                  <w:marBottom w:val="0"/>
                  <w:divBdr>
                    <w:top w:val="none" w:sz="0" w:space="0" w:color="auto"/>
                    <w:left w:val="none" w:sz="0" w:space="0" w:color="auto"/>
                    <w:bottom w:val="none" w:sz="0" w:space="0" w:color="auto"/>
                    <w:right w:val="none" w:sz="0" w:space="0" w:color="auto"/>
                  </w:divBdr>
                  <w:divsChild>
                    <w:div w:id="2128818166">
                      <w:marLeft w:val="0"/>
                      <w:marRight w:val="0"/>
                      <w:marTop w:val="0"/>
                      <w:marBottom w:val="0"/>
                      <w:divBdr>
                        <w:top w:val="none" w:sz="0" w:space="0" w:color="auto"/>
                        <w:left w:val="none" w:sz="0" w:space="0" w:color="auto"/>
                        <w:bottom w:val="none" w:sz="0" w:space="0" w:color="auto"/>
                        <w:right w:val="none" w:sz="0" w:space="0" w:color="auto"/>
                      </w:divBdr>
                      <w:divsChild>
                        <w:div w:id="482890923">
                          <w:marLeft w:val="0"/>
                          <w:marRight w:val="0"/>
                          <w:marTop w:val="0"/>
                          <w:marBottom w:val="0"/>
                          <w:divBdr>
                            <w:top w:val="none" w:sz="0" w:space="0" w:color="auto"/>
                            <w:left w:val="none" w:sz="0" w:space="0" w:color="auto"/>
                            <w:bottom w:val="none" w:sz="0" w:space="0" w:color="auto"/>
                            <w:right w:val="none" w:sz="0" w:space="0" w:color="auto"/>
                          </w:divBdr>
                          <w:divsChild>
                            <w:div w:id="630329576">
                              <w:marLeft w:val="0"/>
                              <w:marRight w:val="0"/>
                              <w:marTop w:val="0"/>
                              <w:marBottom w:val="0"/>
                              <w:divBdr>
                                <w:top w:val="none" w:sz="0" w:space="0" w:color="auto"/>
                                <w:left w:val="none" w:sz="0" w:space="0" w:color="auto"/>
                                <w:bottom w:val="none" w:sz="0" w:space="0" w:color="auto"/>
                                <w:right w:val="none" w:sz="0" w:space="0" w:color="auto"/>
                              </w:divBdr>
                              <w:divsChild>
                                <w:div w:id="741489839">
                                  <w:marLeft w:val="0"/>
                                  <w:marRight w:val="0"/>
                                  <w:marTop w:val="0"/>
                                  <w:marBottom w:val="0"/>
                                  <w:divBdr>
                                    <w:top w:val="none" w:sz="0" w:space="0" w:color="auto"/>
                                    <w:left w:val="none" w:sz="0" w:space="0" w:color="auto"/>
                                    <w:bottom w:val="none" w:sz="0" w:space="0" w:color="auto"/>
                                    <w:right w:val="none" w:sz="0" w:space="0" w:color="auto"/>
                                  </w:divBdr>
                                  <w:divsChild>
                                    <w:div w:id="811991912">
                                      <w:marLeft w:val="0"/>
                                      <w:marRight w:val="0"/>
                                      <w:marTop w:val="0"/>
                                      <w:marBottom w:val="0"/>
                                      <w:divBdr>
                                        <w:top w:val="none" w:sz="0" w:space="0" w:color="auto"/>
                                        <w:left w:val="none" w:sz="0" w:space="0" w:color="auto"/>
                                        <w:bottom w:val="none" w:sz="0" w:space="0" w:color="auto"/>
                                        <w:right w:val="none" w:sz="0" w:space="0" w:color="auto"/>
                                      </w:divBdr>
                                      <w:divsChild>
                                        <w:div w:id="20260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6742">
                          <w:marLeft w:val="0"/>
                          <w:marRight w:val="0"/>
                          <w:marTop w:val="0"/>
                          <w:marBottom w:val="0"/>
                          <w:divBdr>
                            <w:top w:val="none" w:sz="0" w:space="0" w:color="auto"/>
                            <w:left w:val="none" w:sz="0" w:space="0" w:color="auto"/>
                            <w:bottom w:val="none" w:sz="0" w:space="0" w:color="auto"/>
                            <w:right w:val="none" w:sz="0" w:space="0" w:color="auto"/>
                          </w:divBdr>
                          <w:divsChild>
                            <w:div w:id="661348703">
                              <w:marLeft w:val="0"/>
                              <w:marRight w:val="0"/>
                              <w:marTop w:val="0"/>
                              <w:marBottom w:val="0"/>
                              <w:divBdr>
                                <w:top w:val="none" w:sz="0" w:space="0" w:color="auto"/>
                                <w:left w:val="none" w:sz="0" w:space="0" w:color="auto"/>
                                <w:bottom w:val="none" w:sz="0" w:space="0" w:color="auto"/>
                                <w:right w:val="none" w:sz="0" w:space="0" w:color="auto"/>
                              </w:divBdr>
                              <w:divsChild>
                                <w:div w:id="1834711947">
                                  <w:marLeft w:val="0"/>
                                  <w:marRight w:val="0"/>
                                  <w:marTop w:val="0"/>
                                  <w:marBottom w:val="0"/>
                                  <w:divBdr>
                                    <w:top w:val="none" w:sz="0" w:space="0" w:color="auto"/>
                                    <w:left w:val="none" w:sz="0" w:space="0" w:color="auto"/>
                                    <w:bottom w:val="none" w:sz="0" w:space="0" w:color="auto"/>
                                    <w:right w:val="none" w:sz="0" w:space="0" w:color="auto"/>
                                  </w:divBdr>
                                  <w:divsChild>
                                    <w:div w:id="2025670844">
                                      <w:marLeft w:val="0"/>
                                      <w:marRight w:val="0"/>
                                      <w:marTop w:val="0"/>
                                      <w:marBottom w:val="0"/>
                                      <w:divBdr>
                                        <w:top w:val="none" w:sz="0" w:space="0" w:color="auto"/>
                                        <w:left w:val="none" w:sz="0" w:space="0" w:color="auto"/>
                                        <w:bottom w:val="none" w:sz="0" w:space="0" w:color="auto"/>
                                        <w:right w:val="none" w:sz="0" w:space="0" w:color="auto"/>
                                      </w:divBdr>
                                      <w:divsChild>
                                        <w:div w:id="1761681430">
                                          <w:marLeft w:val="0"/>
                                          <w:marRight w:val="0"/>
                                          <w:marTop w:val="0"/>
                                          <w:marBottom w:val="0"/>
                                          <w:divBdr>
                                            <w:top w:val="none" w:sz="0" w:space="0" w:color="auto"/>
                                            <w:left w:val="none" w:sz="0" w:space="0" w:color="auto"/>
                                            <w:bottom w:val="none" w:sz="0" w:space="0" w:color="auto"/>
                                            <w:right w:val="none" w:sz="0" w:space="0" w:color="auto"/>
                                          </w:divBdr>
                                          <w:divsChild>
                                            <w:div w:id="1850018296">
                                              <w:marLeft w:val="0"/>
                                              <w:marRight w:val="0"/>
                                              <w:marTop w:val="0"/>
                                              <w:marBottom w:val="0"/>
                                              <w:divBdr>
                                                <w:top w:val="none" w:sz="0" w:space="0" w:color="auto"/>
                                                <w:left w:val="none" w:sz="0" w:space="0" w:color="auto"/>
                                                <w:bottom w:val="none" w:sz="0" w:space="0" w:color="auto"/>
                                                <w:right w:val="none" w:sz="0" w:space="0" w:color="auto"/>
                                              </w:divBdr>
                                              <w:divsChild>
                                                <w:div w:id="714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611">
                                          <w:marLeft w:val="0"/>
                                          <w:marRight w:val="0"/>
                                          <w:marTop w:val="0"/>
                                          <w:marBottom w:val="0"/>
                                          <w:divBdr>
                                            <w:top w:val="none" w:sz="0" w:space="0" w:color="auto"/>
                                            <w:left w:val="none" w:sz="0" w:space="0" w:color="auto"/>
                                            <w:bottom w:val="none" w:sz="0" w:space="0" w:color="auto"/>
                                            <w:right w:val="none" w:sz="0" w:space="0" w:color="auto"/>
                                          </w:divBdr>
                                          <w:divsChild>
                                            <w:div w:id="1954240714">
                                              <w:marLeft w:val="0"/>
                                              <w:marRight w:val="0"/>
                                              <w:marTop w:val="0"/>
                                              <w:marBottom w:val="0"/>
                                              <w:divBdr>
                                                <w:top w:val="none" w:sz="0" w:space="0" w:color="auto"/>
                                                <w:left w:val="none" w:sz="0" w:space="0" w:color="auto"/>
                                                <w:bottom w:val="none" w:sz="0" w:space="0" w:color="auto"/>
                                                <w:right w:val="none" w:sz="0" w:space="0" w:color="auto"/>
                                              </w:divBdr>
                                              <w:divsChild>
                                                <w:div w:id="1953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997416">
      <w:bodyDiv w:val="1"/>
      <w:marLeft w:val="0"/>
      <w:marRight w:val="0"/>
      <w:marTop w:val="0"/>
      <w:marBottom w:val="0"/>
      <w:divBdr>
        <w:top w:val="none" w:sz="0" w:space="0" w:color="auto"/>
        <w:left w:val="none" w:sz="0" w:space="0" w:color="auto"/>
        <w:bottom w:val="none" w:sz="0" w:space="0" w:color="auto"/>
        <w:right w:val="none" w:sz="0" w:space="0" w:color="auto"/>
      </w:divBdr>
      <w:divsChild>
        <w:div w:id="1539389212">
          <w:marLeft w:val="0"/>
          <w:marRight w:val="0"/>
          <w:marTop w:val="0"/>
          <w:marBottom w:val="0"/>
          <w:divBdr>
            <w:top w:val="none" w:sz="0" w:space="0" w:color="auto"/>
            <w:left w:val="none" w:sz="0" w:space="0" w:color="auto"/>
            <w:bottom w:val="none" w:sz="0" w:space="0" w:color="auto"/>
            <w:right w:val="none" w:sz="0" w:space="0" w:color="auto"/>
          </w:divBdr>
          <w:divsChild>
            <w:div w:id="683023104">
              <w:marLeft w:val="0"/>
              <w:marRight w:val="0"/>
              <w:marTop w:val="0"/>
              <w:marBottom w:val="0"/>
              <w:divBdr>
                <w:top w:val="none" w:sz="0" w:space="0" w:color="auto"/>
                <w:left w:val="none" w:sz="0" w:space="0" w:color="auto"/>
                <w:bottom w:val="none" w:sz="0" w:space="0" w:color="auto"/>
                <w:right w:val="none" w:sz="0" w:space="0" w:color="auto"/>
              </w:divBdr>
              <w:divsChild>
                <w:div w:id="1921597472">
                  <w:marLeft w:val="0"/>
                  <w:marRight w:val="0"/>
                  <w:marTop w:val="0"/>
                  <w:marBottom w:val="0"/>
                  <w:divBdr>
                    <w:top w:val="none" w:sz="0" w:space="0" w:color="auto"/>
                    <w:left w:val="none" w:sz="0" w:space="0" w:color="auto"/>
                    <w:bottom w:val="none" w:sz="0" w:space="0" w:color="auto"/>
                    <w:right w:val="none" w:sz="0" w:space="0" w:color="auto"/>
                  </w:divBdr>
                  <w:divsChild>
                    <w:div w:id="750741844">
                      <w:marLeft w:val="0"/>
                      <w:marRight w:val="0"/>
                      <w:marTop w:val="0"/>
                      <w:marBottom w:val="0"/>
                      <w:divBdr>
                        <w:top w:val="none" w:sz="0" w:space="0" w:color="auto"/>
                        <w:left w:val="none" w:sz="0" w:space="0" w:color="auto"/>
                        <w:bottom w:val="none" w:sz="0" w:space="0" w:color="auto"/>
                        <w:right w:val="none" w:sz="0" w:space="0" w:color="auto"/>
                      </w:divBdr>
                      <w:divsChild>
                        <w:div w:id="1724330969">
                          <w:marLeft w:val="0"/>
                          <w:marRight w:val="0"/>
                          <w:marTop w:val="0"/>
                          <w:marBottom w:val="0"/>
                          <w:divBdr>
                            <w:top w:val="none" w:sz="0" w:space="0" w:color="auto"/>
                            <w:left w:val="none" w:sz="0" w:space="0" w:color="auto"/>
                            <w:bottom w:val="none" w:sz="0" w:space="0" w:color="auto"/>
                            <w:right w:val="none" w:sz="0" w:space="0" w:color="auto"/>
                          </w:divBdr>
                          <w:divsChild>
                            <w:div w:id="1278025339">
                              <w:marLeft w:val="0"/>
                              <w:marRight w:val="0"/>
                              <w:marTop w:val="0"/>
                              <w:marBottom w:val="0"/>
                              <w:divBdr>
                                <w:top w:val="none" w:sz="0" w:space="0" w:color="auto"/>
                                <w:left w:val="none" w:sz="0" w:space="0" w:color="auto"/>
                                <w:bottom w:val="none" w:sz="0" w:space="0" w:color="auto"/>
                                <w:right w:val="none" w:sz="0" w:space="0" w:color="auto"/>
                              </w:divBdr>
                              <w:divsChild>
                                <w:div w:id="943462854">
                                  <w:marLeft w:val="0"/>
                                  <w:marRight w:val="0"/>
                                  <w:marTop w:val="0"/>
                                  <w:marBottom w:val="0"/>
                                  <w:divBdr>
                                    <w:top w:val="none" w:sz="0" w:space="0" w:color="auto"/>
                                    <w:left w:val="none" w:sz="0" w:space="0" w:color="auto"/>
                                    <w:bottom w:val="none" w:sz="0" w:space="0" w:color="auto"/>
                                    <w:right w:val="none" w:sz="0" w:space="0" w:color="auto"/>
                                  </w:divBdr>
                                  <w:divsChild>
                                    <w:div w:id="680931116">
                                      <w:marLeft w:val="0"/>
                                      <w:marRight w:val="0"/>
                                      <w:marTop w:val="0"/>
                                      <w:marBottom w:val="0"/>
                                      <w:divBdr>
                                        <w:top w:val="none" w:sz="0" w:space="0" w:color="auto"/>
                                        <w:left w:val="none" w:sz="0" w:space="0" w:color="auto"/>
                                        <w:bottom w:val="none" w:sz="0" w:space="0" w:color="auto"/>
                                        <w:right w:val="none" w:sz="0" w:space="0" w:color="auto"/>
                                      </w:divBdr>
                                      <w:divsChild>
                                        <w:div w:id="1501197111">
                                          <w:marLeft w:val="0"/>
                                          <w:marRight w:val="0"/>
                                          <w:marTop w:val="0"/>
                                          <w:marBottom w:val="0"/>
                                          <w:divBdr>
                                            <w:top w:val="none" w:sz="0" w:space="0" w:color="auto"/>
                                            <w:left w:val="none" w:sz="0" w:space="0" w:color="auto"/>
                                            <w:bottom w:val="none" w:sz="0" w:space="0" w:color="auto"/>
                                            <w:right w:val="none" w:sz="0" w:space="0" w:color="auto"/>
                                          </w:divBdr>
                                          <w:divsChild>
                                            <w:div w:id="1997105555">
                                              <w:marLeft w:val="0"/>
                                              <w:marRight w:val="0"/>
                                              <w:marTop w:val="0"/>
                                              <w:marBottom w:val="0"/>
                                              <w:divBdr>
                                                <w:top w:val="none" w:sz="0" w:space="0" w:color="auto"/>
                                                <w:left w:val="none" w:sz="0" w:space="0" w:color="auto"/>
                                                <w:bottom w:val="none" w:sz="0" w:space="0" w:color="auto"/>
                                                <w:right w:val="none" w:sz="0" w:space="0" w:color="auto"/>
                                              </w:divBdr>
                                              <w:divsChild>
                                                <w:div w:id="1451049298">
                                                  <w:marLeft w:val="0"/>
                                                  <w:marRight w:val="0"/>
                                                  <w:marTop w:val="0"/>
                                                  <w:marBottom w:val="0"/>
                                                  <w:divBdr>
                                                    <w:top w:val="none" w:sz="0" w:space="0" w:color="auto"/>
                                                    <w:left w:val="none" w:sz="0" w:space="0" w:color="auto"/>
                                                    <w:bottom w:val="none" w:sz="0" w:space="0" w:color="auto"/>
                                                    <w:right w:val="none" w:sz="0" w:space="0" w:color="auto"/>
                                                  </w:divBdr>
                                                  <w:divsChild>
                                                    <w:div w:id="1969974721">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909390590">
      <w:bodyDiv w:val="1"/>
      <w:marLeft w:val="0"/>
      <w:marRight w:val="0"/>
      <w:marTop w:val="0"/>
      <w:marBottom w:val="0"/>
      <w:divBdr>
        <w:top w:val="none" w:sz="0" w:space="0" w:color="auto"/>
        <w:left w:val="none" w:sz="0" w:space="0" w:color="auto"/>
        <w:bottom w:val="none" w:sz="0" w:space="0" w:color="auto"/>
        <w:right w:val="none" w:sz="0" w:space="0" w:color="auto"/>
      </w:divBdr>
      <w:divsChild>
        <w:div w:id="196504485">
          <w:marLeft w:val="0"/>
          <w:marRight w:val="0"/>
          <w:marTop w:val="0"/>
          <w:marBottom w:val="0"/>
          <w:divBdr>
            <w:top w:val="none" w:sz="0" w:space="0" w:color="auto"/>
            <w:left w:val="none" w:sz="0" w:space="0" w:color="auto"/>
            <w:bottom w:val="none" w:sz="0" w:space="0" w:color="auto"/>
            <w:right w:val="none" w:sz="0" w:space="0" w:color="auto"/>
          </w:divBdr>
          <w:divsChild>
            <w:div w:id="798961677">
              <w:marLeft w:val="0"/>
              <w:marRight w:val="0"/>
              <w:marTop w:val="0"/>
              <w:marBottom w:val="0"/>
              <w:divBdr>
                <w:top w:val="none" w:sz="0" w:space="0" w:color="auto"/>
                <w:left w:val="none" w:sz="0" w:space="0" w:color="auto"/>
                <w:bottom w:val="none" w:sz="0" w:space="0" w:color="auto"/>
                <w:right w:val="none" w:sz="0" w:space="0" w:color="auto"/>
              </w:divBdr>
              <w:divsChild>
                <w:div w:id="476184974">
                  <w:marLeft w:val="0"/>
                  <w:marRight w:val="0"/>
                  <w:marTop w:val="0"/>
                  <w:marBottom w:val="0"/>
                  <w:divBdr>
                    <w:top w:val="none" w:sz="0" w:space="0" w:color="auto"/>
                    <w:left w:val="none" w:sz="0" w:space="0" w:color="auto"/>
                    <w:bottom w:val="none" w:sz="0" w:space="0" w:color="auto"/>
                    <w:right w:val="none" w:sz="0" w:space="0" w:color="auto"/>
                  </w:divBdr>
                  <w:divsChild>
                    <w:div w:id="1568609509">
                      <w:marLeft w:val="0"/>
                      <w:marRight w:val="0"/>
                      <w:marTop w:val="0"/>
                      <w:marBottom w:val="0"/>
                      <w:divBdr>
                        <w:top w:val="none" w:sz="0" w:space="0" w:color="auto"/>
                        <w:left w:val="none" w:sz="0" w:space="0" w:color="auto"/>
                        <w:bottom w:val="none" w:sz="0" w:space="0" w:color="auto"/>
                        <w:right w:val="none" w:sz="0" w:space="0" w:color="auto"/>
                      </w:divBdr>
                      <w:divsChild>
                        <w:div w:id="1358577934">
                          <w:marLeft w:val="0"/>
                          <w:marRight w:val="0"/>
                          <w:marTop w:val="0"/>
                          <w:marBottom w:val="0"/>
                          <w:divBdr>
                            <w:top w:val="none" w:sz="0" w:space="0" w:color="auto"/>
                            <w:left w:val="none" w:sz="0" w:space="0" w:color="auto"/>
                            <w:bottom w:val="none" w:sz="0" w:space="0" w:color="auto"/>
                            <w:right w:val="none" w:sz="0" w:space="0" w:color="auto"/>
                          </w:divBdr>
                          <w:divsChild>
                            <w:div w:id="42953170">
                              <w:marLeft w:val="0"/>
                              <w:marRight w:val="0"/>
                              <w:marTop w:val="0"/>
                              <w:marBottom w:val="0"/>
                              <w:divBdr>
                                <w:top w:val="none" w:sz="0" w:space="0" w:color="auto"/>
                                <w:left w:val="none" w:sz="0" w:space="0" w:color="auto"/>
                                <w:bottom w:val="none" w:sz="0" w:space="0" w:color="auto"/>
                                <w:right w:val="none" w:sz="0" w:space="0" w:color="auto"/>
                              </w:divBdr>
                              <w:divsChild>
                                <w:div w:id="1442409206">
                                  <w:marLeft w:val="0"/>
                                  <w:marRight w:val="0"/>
                                  <w:marTop w:val="0"/>
                                  <w:marBottom w:val="0"/>
                                  <w:divBdr>
                                    <w:top w:val="none" w:sz="0" w:space="0" w:color="auto"/>
                                    <w:left w:val="none" w:sz="0" w:space="0" w:color="auto"/>
                                    <w:bottom w:val="none" w:sz="0" w:space="0" w:color="auto"/>
                                    <w:right w:val="none" w:sz="0" w:space="0" w:color="auto"/>
                                  </w:divBdr>
                                  <w:divsChild>
                                    <w:div w:id="1976979777">
                                      <w:marLeft w:val="0"/>
                                      <w:marRight w:val="0"/>
                                      <w:marTop w:val="0"/>
                                      <w:marBottom w:val="0"/>
                                      <w:divBdr>
                                        <w:top w:val="none" w:sz="0" w:space="0" w:color="auto"/>
                                        <w:left w:val="none" w:sz="0" w:space="0" w:color="auto"/>
                                        <w:bottom w:val="none" w:sz="0" w:space="0" w:color="auto"/>
                                        <w:right w:val="none" w:sz="0" w:space="0" w:color="auto"/>
                                      </w:divBdr>
                                      <w:divsChild>
                                        <w:div w:id="1771268890">
                                          <w:marLeft w:val="0"/>
                                          <w:marRight w:val="0"/>
                                          <w:marTop w:val="0"/>
                                          <w:marBottom w:val="0"/>
                                          <w:divBdr>
                                            <w:top w:val="none" w:sz="0" w:space="0" w:color="auto"/>
                                            <w:left w:val="none" w:sz="0" w:space="0" w:color="auto"/>
                                            <w:bottom w:val="none" w:sz="0" w:space="0" w:color="auto"/>
                                            <w:right w:val="none" w:sz="0" w:space="0" w:color="auto"/>
                                          </w:divBdr>
                                          <w:divsChild>
                                            <w:div w:id="1500579333">
                                              <w:marLeft w:val="0"/>
                                              <w:marRight w:val="0"/>
                                              <w:marTop w:val="0"/>
                                              <w:marBottom w:val="0"/>
                                              <w:divBdr>
                                                <w:top w:val="none" w:sz="0" w:space="0" w:color="auto"/>
                                                <w:left w:val="none" w:sz="0" w:space="0" w:color="auto"/>
                                                <w:bottom w:val="none" w:sz="0" w:space="0" w:color="auto"/>
                                                <w:right w:val="none" w:sz="0" w:space="0" w:color="auto"/>
                                              </w:divBdr>
                                              <w:divsChild>
                                                <w:div w:id="908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460462">
      <w:bodyDiv w:val="1"/>
      <w:marLeft w:val="0"/>
      <w:marRight w:val="0"/>
      <w:marTop w:val="0"/>
      <w:marBottom w:val="0"/>
      <w:divBdr>
        <w:top w:val="none" w:sz="0" w:space="0" w:color="auto"/>
        <w:left w:val="none" w:sz="0" w:space="0" w:color="auto"/>
        <w:bottom w:val="none" w:sz="0" w:space="0" w:color="auto"/>
        <w:right w:val="none" w:sz="0" w:space="0" w:color="auto"/>
      </w:divBdr>
      <w:divsChild>
        <w:div w:id="1298493232">
          <w:marLeft w:val="0"/>
          <w:marRight w:val="0"/>
          <w:marTop w:val="0"/>
          <w:marBottom w:val="0"/>
          <w:divBdr>
            <w:top w:val="none" w:sz="0" w:space="0" w:color="auto"/>
            <w:left w:val="none" w:sz="0" w:space="0" w:color="auto"/>
            <w:bottom w:val="none" w:sz="0" w:space="0" w:color="auto"/>
            <w:right w:val="none" w:sz="0" w:space="0" w:color="auto"/>
          </w:divBdr>
          <w:divsChild>
            <w:div w:id="955062612">
              <w:marLeft w:val="0"/>
              <w:marRight w:val="0"/>
              <w:marTop w:val="0"/>
              <w:marBottom w:val="0"/>
              <w:divBdr>
                <w:top w:val="none" w:sz="0" w:space="0" w:color="auto"/>
                <w:left w:val="none" w:sz="0" w:space="0" w:color="auto"/>
                <w:bottom w:val="none" w:sz="0" w:space="0" w:color="auto"/>
                <w:right w:val="none" w:sz="0" w:space="0" w:color="auto"/>
              </w:divBdr>
              <w:divsChild>
                <w:div w:id="567881639">
                  <w:marLeft w:val="0"/>
                  <w:marRight w:val="0"/>
                  <w:marTop w:val="0"/>
                  <w:marBottom w:val="0"/>
                  <w:divBdr>
                    <w:top w:val="none" w:sz="0" w:space="0" w:color="auto"/>
                    <w:left w:val="none" w:sz="0" w:space="0" w:color="auto"/>
                    <w:bottom w:val="none" w:sz="0" w:space="0" w:color="auto"/>
                    <w:right w:val="none" w:sz="0" w:space="0" w:color="auto"/>
                  </w:divBdr>
                  <w:divsChild>
                    <w:div w:id="948851045">
                      <w:marLeft w:val="0"/>
                      <w:marRight w:val="0"/>
                      <w:marTop w:val="0"/>
                      <w:marBottom w:val="0"/>
                      <w:divBdr>
                        <w:top w:val="none" w:sz="0" w:space="0" w:color="auto"/>
                        <w:left w:val="none" w:sz="0" w:space="0" w:color="auto"/>
                        <w:bottom w:val="none" w:sz="0" w:space="0" w:color="auto"/>
                        <w:right w:val="none" w:sz="0" w:space="0" w:color="auto"/>
                      </w:divBdr>
                      <w:divsChild>
                        <w:div w:id="1442458041">
                          <w:marLeft w:val="0"/>
                          <w:marRight w:val="0"/>
                          <w:marTop w:val="0"/>
                          <w:marBottom w:val="0"/>
                          <w:divBdr>
                            <w:top w:val="none" w:sz="0" w:space="0" w:color="auto"/>
                            <w:left w:val="none" w:sz="0" w:space="0" w:color="auto"/>
                            <w:bottom w:val="none" w:sz="0" w:space="0" w:color="auto"/>
                            <w:right w:val="none" w:sz="0" w:space="0" w:color="auto"/>
                          </w:divBdr>
                          <w:divsChild>
                            <w:div w:id="902258166">
                              <w:marLeft w:val="0"/>
                              <w:marRight w:val="0"/>
                              <w:marTop w:val="0"/>
                              <w:marBottom w:val="0"/>
                              <w:divBdr>
                                <w:top w:val="none" w:sz="0" w:space="0" w:color="auto"/>
                                <w:left w:val="none" w:sz="0" w:space="0" w:color="auto"/>
                                <w:bottom w:val="none" w:sz="0" w:space="0" w:color="auto"/>
                                <w:right w:val="none" w:sz="0" w:space="0" w:color="auto"/>
                              </w:divBdr>
                              <w:divsChild>
                                <w:div w:id="1276138610">
                                  <w:marLeft w:val="0"/>
                                  <w:marRight w:val="0"/>
                                  <w:marTop w:val="0"/>
                                  <w:marBottom w:val="0"/>
                                  <w:divBdr>
                                    <w:top w:val="none" w:sz="0" w:space="0" w:color="auto"/>
                                    <w:left w:val="none" w:sz="0" w:space="0" w:color="auto"/>
                                    <w:bottom w:val="none" w:sz="0" w:space="0" w:color="auto"/>
                                    <w:right w:val="none" w:sz="0" w:space="0" w:color="auto"/>
                                  </w:divBdr>
                                  <w:divsChild>
                                    <w:div w:id="997073360">
                                      <w:marLeft w:val="0"/>
                                      <w:marRight w:val="0"/>
                                      <w:marTop w:val="0"/>
                                      <w:marBottom w:val="0"/>
                                      <w:divBdr>
                                        <w:top w:val="none" w:sz="0" w:space="0" w:color="auto"/>
                                        <w:left w:val="none" w:sz="0" w:space="0" w:color="auto"/>
                                        <w:bottom w:val="none" w:sz="0" w:space="0" w:color="auto"/>
                                        <w:right w:val="none" w:sz="0" w:space="0" w:color="auto"/>
                                      </w:divBdr>
                                      <w:divsChild>
                                        <w:div w:id="1870601510">
                                          <w:marLeft w:val="0"/>
                                          <w:marRight w:val="0"/>
                                          <w:marTop w:val="0"/>
                                          <w:marBottom w:val="0"/>
                                          <w:divBdr>
                                            <w:top w:val="none" w:sz="0" w:space="0" w:color="auto"/>
                                            <w:left w:val="none" w:sz="0" w:space="0" w:color="auto"/>
                                            <w:bottom w:val="none" w:sz="0" w:space="0" w:color="auto"/>
                                            <w:right w:val="none" w:sz="0" w:space="0" w:color="auto"/>
                                          </w:divBdr>
                                          <w:divsChild>
                                            <w:div w:id="1246766025">
                                              <w:marLeft w:val="0"/>
                                              <w:marRight w:val="0"/>
                                              <w:marTop w:val="0"/>
                                              <w:marBottom w:val="0"/>
                                              <w:divBdr>
                                                <w:top w:val="none" w:sz="0" w:space="0" w:color="auto"/>
                                                <w:left w:val="none" w:sz="0" w:space="0" w:color="auto"/>
                                                <w:bottom w:val="none" w:sz="0" w:space="0" w:color="auto"/>
                                                <w:right w:val="none" w:sz="0" w:space="0" w:color="auto"/>
                                              </w:divBdr>
                                              <w:divsChild>
                                                <w:div w:id="1866168097">
                                                  <w:marLeft w:val="0"/>
                                                  <w:marRight w:val="0"/>
                                                  <w:marTop w:val="0"/>
                                                  <w:marBottom w:val="0"/>
                                                  <w:divBdr>
                                                    <w:top w:val="none" w:sz="0" w:space="0" w:color="auto"/>
                                                    <w:left w:val="none" w:sz="0" w:space="0" w:color="auto"/>
                                                    <w:bottom w:val="none" w:sz="0" w:space="0" w:color="auto"/>
                                                    <w:right w:val="none" w:sz="0" w:space="0" w:color="auto"/>
                                                  </w:divBdr>
                                                  <w:divsChild>
                                                    <w:div w:id="1309553392">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051995876">
      <w:bodyDiv w:val="1"/>
      <w:marLeft w:val="0"/>
      <w:marRight w:val="0"/>
      <w:marTop w:val="0"/>
      <w:marBottom w:val="0"/>
      <w:divBdr>
        <w:top w:val="none" w:sz="0" w:space="0" w:color="auto"/>
        <w:left w:val="none" w:sz="0" w:space="0" w:color="auto"/>
        <w:bottom w:val="none" w:sz="0" w:space="0" w:color="auto"/>
        <w:right w:val="none" w:sz="0" w:space="0" w:color="auto"/>
      </w:divBdr>
      <w:divsChild>
        <w:div w:id="939266194">
          <w:marLeft w:val="0"/>
          <w:marRight w:val="0"/>
          <w:marTop w:val="0"/>
          <w:marBottom w:val="0"/>
          <w:divBdr>
            <w:top w:val="none" w:sz="0" w:space="0" w:color="auto"/>
            <w:left w:val="none" w:sz="0" w:space="0" w:color="auto"/>
            <w:bottom w:val="none" w:sz="0" w:space="0" w:color="auto"/>
            <w:right w:val="none" w:sz="0" w:space="0" w:color="auto"/>
          </w:divBdr>
          <w:divsChild>
            <w:div w:id="624625172">
              <w:marLeft w:val="0"/>
              <w:marRight w:val="0"/>
              <w:marTop w:val="0"/>
              <w:marBottom w:val="0"/>
              <w:divBdr>
                <w:top w:val="none" w:sz="0" w:space="0" w:color="auto"/>
                <w:left w:val="none" w:sz="0" w:space="0" w:color="auto"/>
                <w:bottom w:val="none" w:sz="0" w:space="0" w:color="auto"/>
                <w:right w:val="none" w:sz="0" w:space="0" w:color="auto"/>
              </w:divBdr>
              <w:divsChild>
                <w:div w:id="1972010948">
                  <w:marLeft w:val="0"/>
                  <w:marRight w:val="0"/>
                  <w:marTop w:val="0"/>
                  <w:marBottom w:val="0"/>
                  <w:divBdr>
                    <w:top w:val="none" w:sz="0" w:space="0" w:color="auto"/>
                    <w:left w:val="none" w:sz="0" w:space="0" w:color="auto"/>
                    <w:bottom w:val="none" w:sz="0" w:space="0" w:color="auto"/>
                    <w:right w:val="none" w:sz="0" w:space="0" w:color="auto"/>
                  </w:divBdr>
                  <w:divsChild>
                    <w:div w:id="2008555652">
                      <w:marLeft w:val="0"/>
                      <w:marRight w:val="0"/>
                      <w:marTop w:val="0"/>
                      <w:marBottom w:val="0"/>
                      <w:divBdr>
                        <w:top w:val="none" w:sz="0" w:space="0" w:color="auto"/>
                        <w:left w:val="none" w:sz="0" w:space="0" w:color="auto"/>
                        <w:bottom w:val="none" w:sz="0" w:space="0" w:color="auto"/>
                        <w:right w:val="none" w:sz="0" w:space="0" w:color="auto"/>
                      </w:divBdr>
                      <w:divsChild>
                        <w:div w:id="1416899967">
                          <w:marLeft w:val="0"/>
                          <w:marRight w:val="0"/>
                          <w:marTop w:val="0"/>
                          <w:marBottom w:val="0"/>
                          <w:divBdr>
                            <w:top w:val="none" w:sz="0" w:space="0" w:color="auto"/>
                            <w:left w:val="none" w:sz="0" w:space="0" w:color="auto"/>
                            <w:bottom w:val="none" w:sz="0" w:space="0" w:color="auto"/>
                            <w:right w:val="none" w:sz="0" w:space="0" w:color="auto"/>
                          </w:divBdr>
                          <w:divsChild>
                            <w:div w:id="1956911461">
                              <w:marLeft w:val="0"/>
                              <w:marRight w:val="0"/>
                              <w:marTop w:val="0"/>
                              <w:marBottom w:val="0"/>
                              <w:divBdr>
                                <w:top w:val="none" w:sz="0" w:space="0" w:color="auto"/>
                                <w:left w:val="none" w:sz="0" w:space="0" w:color="auto"/>
                                <w:bottom w:val="none" w:sz="0" w:space="0" w:color="auto"/>
                                <w:right w:val="none" w:sz="0" w:space="0" w:color="auto"/>
                              </w:divBdr>
                              <w:divsChild>
                                <w:div w:id="1075978899">
                                  <w:marLeft w:val="0"/>
                                  <w:marRight w:val="0"/>
                                  <w:marTop w:val="0"/>
                                  <w:marBottom w:val="0"/>
                                  <w:divBdr>
                                    <w:top w:val="none" w:sz="0" w:space="0" w:color="auto"/>
                                    <w:left w:val="none" w:sz="0" w:space="0" w:color="auto"/>
                                    <w:bottom w:val="none" w:sz="0" w:space="0" w:color="auto"/>
                                    <w:right w:val="none" w:sz="0" w:space="0" w:color="auto"/>
                                  </w:divBdr>
                                  <w:divsChild>
                                    <w:div w:id="1305088523">
                                      <w:marLeft w:val="0"/>
                                      <w:marRight w:val="0"/>
                                      <w:marTop w:val="0"/>
                                      <w:marBottom w:val="0"/>
                                      <w:divBdr>
                                        <w:top w:val="none" w:sz="0" w:space="0" w:color="auto"/>
                                        <w:left w:val="none" w:sz="0" w:space="0" w:color="auto"/>
                                        <w:bottom w:val="none" w:sz="0" w:space="0" w:color="auto"/>
                                        <w:right w:val="none" w:sz="0" w:space="0" w:color="auto"/>
                                      </w:divBdr>
                                      <w:divsChild>
                                        <w:div w:id="1287857617">
                                          <w:marLeft w:val="0"/>
                                          <w:marRight w:val="0"/>
                                          <w:marTop w:val="0"/>
                                          <w:marBottom w:val="0"/>
                                          <w:divBdr>
                                            <w:top w:val="none" w:sz="0" w:space="0" w:color="auto"/>
                                            <w:left w:val="none" w:sz="0" w:space="0" w:color="auto"/>
                                            <w:bottom w:val="none" w:sz="0" w:space="0" w:color="auto"/>
                                            <w:right w:val="none" w:sz="0" w:space="0" w:color="auto"/>
                                          </w:divBdr>
                                          <w:divsChild>
                                            <w:div w:id="794566547">
                                              <w:marLeft w:val="0"/>
                                              <w:marRight w:val="0"/>
                                              <w:marTop w:val="0"/>
                                              <w:marBottom w:val="0"/>
                                              <w:divBdr>
                                                <w:top w:val="none" w:sz="0" w:space="0" w:color="auto"/>
                                                <w:left w:val="none" w:sz="0" w:space="0" w:color="auto"/>
                                                <w:bottom w:val="none" w:sz="0" w:space="0" w:color="auto"/>
                                                <w:right w:val="none" w:sz="0" w:space="0" w:color="auto"/>
                                              </w:divBdr>
                                              <w:divsChild>
                                                <w:div w:id="1548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303873">
      <w:bodyDiv w:val="1"/>
      <w:marLeft w:val="0"/>
      <w:marRight w:val="0"/>
      <w:marTop w:val="0"/>
      <w:marBottom w:val="0"/>
      <w:divBdr>
        <w:top w:val="none" w:sz="0" w:space="0" w:color="auto"/>
        <w:left w:val="none" w:sz="0" w:space="0" w:color="auto"/>
        <w:bottom w:val="none" w:sz="0" w:space="0" w:color="auto"/>
        <w:right w:val="none" w:sz="0" w:space="0" w:color="auto"/>
      </w:divBdr>
      <w:divsChild>
        <w:div w:id="188103616">
          <w:marLeft w:val="0"/>
          <w:marRight w:val="0"/>
          <w:marTop w:val="0"/>
          <w:marBottom w:val="0"/>
          <w:divBdr>
            <w:top w:val="none" w:sz="0" w:space="0" w:color="auto"/>
            <w:left w:val="none" w:sz="0" w:space="0" w:color="auto"/>
            <w:bottom w:val="none" w:sz="0" w:space="0" w:color="auto"/>
            <w:right w:val="none" w:sz="0" w:space="0" w:color="auto"/>
          </w:divBdr>
          <w:divsChild>
            <w:div w:id="223027806">
              <w:marLeft w:val="0"/>
              <w:marRight w:val="0"/>
              <w:marTop w:val="0"/>
              <w:marBottom w:val="0"/>
              <w:divBdr>
                <w:top w:val="none" w:sz="0" w:space="0" w:color="auto"/>
                <w:left w:val="none" w:sz="0" w:space="0" w:color="auto"/>
                <w:bottom w:val="none" w:sz="0" w:space="0" w:color="auto"/>
                <w:right w:val="none" w:sz="0" w:space="0" w:color="auto"/>
              </w:divBdr>
              <w:divsChild>
                <w:div w:id="443041220">
                  <w:marLeft w:val="0"/>
                  <w:marRight w:val="0"/>
                  <w:marTop w:val="0"/>
                  <w:marBottom w:val="0"/>
                  <w:divBdr>
                    <w:top w:val="none" w:sz="0" w:space="0" w:color="auto"/>
                    <w:left w:val="none" w:sz="0" w:space="0" w:color="auto"/>
                    <w:bottom w:val="none" w:sz="0" w:space="0" w:color="auto"/>
                    <w:right w:val="none" w:sz="0" w:space="0" w:color="auto"/>
                  </w:divBdr>
                  <w:divsChild>
                    <w:div w:id="908879433">
                      <w:marLeft w:val="0"/>
                      <w:marRight w:val="0"/>
                      <w:marTop w:val="0"/>
                      <w:marBottom w:val="0"/>
                      <w:divBdr>
                        <w:top w:val="none" w:sz="0" w:space="0" w:color="auto"/>
                        <w:left w:val="none" w:sz="0" w:space="0" w:color="auto"/>
                        <w:bottom w:val="none" w:sz="0" w:space="0" w:color="auto"/>
                        <w:right w:val="none" w:sz="0" w:space="0" w:color="auto"/>
                      </w:divBdr>
                      <w:divsChild>
                        <w:div w:id="1616254779">
                          <w:marLeft w:val="0"/>
                          <w:marRight w:val="0"/>
                          <w:marTop w:val="0"/>
                          <w:marBottom w:val="0"/>
                          <w:divBdr>
                            <w:top w:val="none" w:sz="0" w:space="0" w:color="auto"/>
                            <w:left w:val="none" w:sz="0" w:space="0" w:color="auto"/>
                            <w:bottom w:val="none" w:sz="0" w:space="0" w:color="auto"/>
                            <w:right w:val="none" w:sz="0" w:space="0" w:color="auto"/>
                          </w:divBdr>
                          <w:divsChild>
                            <w:div w:id="1749645203">
                              <w:marLeft w:val="0"/>
                              <w:marRight w:val="0"/>
                              <w:marTop w:val="0"/>
                              <w:marBottom w:val="0"/>
                              <w:divBdr>
                                <w:top w:val="none" w:sz="0" w:space="0" w:color="auto"/>
                                <w:left w:val="none" w:sz="0" w:space="0" w:color="auto"/>
                                <w:bottom w:val="none" w:sz="0" w:space="0" w:color="auto"/>
                                <w:right w:val="none" w:sz="0" w:space="0" w:color="auto"/>
                              </w:divBdr>
                              <w:divsChild>
                                <w:div w:id="499463074">
                                  <w:marLeft w:val="0"/>
                                  <w:marRight w:val="0"/>
                                  <w:marTop w:val="0"/>
                                  <w:marBottom w:val="0"/>
                                  <w:divBdr>
                                    <w:top w:val="none" w:sz="0" w:space="0" w:color="auto"/>
                                    <w:left w:val="none" w:sz="0" w:space="0" w:color="auto"/>
                                    <w:bottom w:val="none" w:sz="0" w:space="0" w:color="auto"/>
                                    <w:right w:val="none" w:sz="0" w:space="0" w:color="auto"/>
                                  </w:divBdr>
                                  <w:divsChild>
                                    <w:div w:id="1168714222">
                                      <w:marLeft w:val="0"/>
                                      <w:marRight w:val="0"/>
                                      <w:marTop w:val="0"/>
                                      <w:marBottom w:val="0"/>
                                      <w:divBdr>
                                        <w:top w:val="none" w:sz="0" w:space="0" w:color="auto"/>
                                        <w:left w:val="none" w:sz="0" w:space="0" w:color="auto"/>
                                        <w:bottom w:val="none" w:sz="0" w:space="0" w:color="auto"/>
                                        <w:right w:val="none" w:sz="0" w:space="0" w:color="auto"/>
                                      </w:divBdr>
                                      <w:divsChild>
                                        <w:div w:id="1156803650">
                                          <w:marLeft w:val="0"/>
                                          <w:marRight w:val="0"/>
                                          <w:marTop w:val="0"/>
                                          <w:marBottom w:val="0"/>
                                          <w:divBdr>
                                            <w:top w:val="none" w:sz="0" w:space="0" w:color="auto"/>
                                            <w:left w:val="none" w:sz="0" w:space="0" w:color="auto"/>
                                            <w:bottom w:val="none" w:sz="0" w:space="0" w:color="auto"/>
                                            <w:right w:val="none" w:sz="0" w:space="0" w:color="auto"/>
                                          </w:divBdr>
                                          <w:divsChild>
                                            <w:div w:id="626011177">
                                              <w:marLeft w:val="0"/>
                                              <w:marRight w:val="0"/>
                                              <w:marTop w:val="0"/>
                                              <w:marBottom w:val="0"/>
                                              <w:divBdr>
                                                <w:top w:val="none" w:sz="0" w:space="0" w:color="auto"/>
                                                <w:left w:val="none" w:sz="0" w:space="0" w:color="auto"/>
                                                <w:bottom w:val="none" w:sz="0" w:space="0" w:color="auto"/>
                                                <w:right w:val="none" w:sz="0" w:space="0" w:color="auto"/>
                                              </w:divBdr>
                                              <w:divsChild>
                                                <w:div w:id="1101729474">
                                                  <w:marLeft w:val="0"/>
                                                  <w:marRight w:val="0"/>
                                                  <w:marTop w:val="0"/>
                                                  <w:marBottom w:val="0"/>
                                                  <w:divBdr>
                                                    <w:top w:val="none" w:sz="0" w:space="0" w:color="auto"/>
                                                    <w:left w:val="none" w:sz="0" w:space="0" w:color="auto"/>
                                                    <w:bottom w:val="none" w:sz="0" w:space="0" w:color="auto"/>
                                                    <w:right w:val="none" w:sz="0" w:space="0" w:color="auto"/>
                                                  </w:divBdr>
                                                  <w:divsChild>
                                                    <w:div w:id="259215425">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369834494">
      <w:bodyDiv w:val="1"/>
      <w:marLeft w:val="0"/>
      <w:marRight w:val="0"/>
      <w:marTop w:val="0"/>
      <w:marBottom w:val="0"/>
      <w:divBdr>
        <w:top w:val="none" w:sz="0" w:space="0" w:color="auto"/>
        <w:left w:val="none" w:sz="0" w:space="0" w:color="auto"/>
        <w:bottom w:val="none" w:sz="0" w:space="0" w:color="auto"/>
        <w:right w:val="none" w:sz="0" w:space="0" w:color="auto"/>
      </w:divBdr>
      <w:divsChild>
        <w:div w:id="116264856">
          <w:marLeft w:val="0"/>
          <w:marRight w:val="0"/>
          <w:marTop w:val="0"/>
          <w:marBottom w:val="0"/>
          <w:divBdr>
            <w:top w:val="none" w:sz="0" w:space="0" w:color="auto"/>
            <w:left w:val="none" w:sz="0" w:space="0" w:color="auto"/>
            <w:bottom w:val="none" w:sz="0" w:space="0" w:color="auto"/>
            <w:right w:val="none" w:sz="0" w:space="0" w:color="auto"/>
          </w:divBdr>
          <w:divsChild>
            <w:div w:id="1792164999">
              <w:marLeft w:val="0"/>
              <w:marRight w:val="0"/>
              <w:marTop w:val="0"/>
              <w:marBottom w:val="0"/>
              <w:divBdr>
                <w:top w:val="none" w:sz="0" w:space="0" w:color="auto"/>
                <w:left w:val="none" w:sz="0" w:space="0" w:color="auto"/>
                <w:bottom w:val="none" w:sz="0" w:space="0" w:color="auto"/>
                <w:right w:val="none" w:sz="0" w:space="0" w:color="auto"/>
              </w:divBdr>
              <w:divsChild>
                <w:div w:id="509566782">
                  <w:marLeft w:val="0"/>
                  <w:marRight w:val="0"/>
                  <w:marTop w:val="0"/>
                  <w:marBottom w:val="0"/>
                  <w:divBdr>
                    <w:top w:val="none" w:sz="0" w:space="0" w:color="auto"/>
                    <w:left w:val="none" w:sz="0" w:space="0" w:color="auto"/>
                    <w:bottom w:val="none" w:sz="0" w:space="0" w:color="auto"/>
                    <w:right w:val="none" w:sz="0" w:space="0" w:color="auto"/>
                  </w:divBdr>
                  <w:divsChild>
                    <w:div w:id="1146043857">
                      <w:marLeft w:val="0"/>
                      <w:marRight w:val="0"/>
                      <w:marTop w:val="0"/>
                      <w:marBottom w:val="0"/>
                      <w:divBdr>
                        <w:top w:val="none" w:sz="0" w:space="0" w:color="auto"/>
                        <w:left w:val="none" w:sz="0" w:space="0" w:color="auto"/>
                        <w:bottom w:val="none" w:sz="0" w:space="0" w:color="auto"/>
                        <w:right w:val="none" w:sz="0" w:space="0" w:color="auto"/>
                      </w:divBdr>
                      <w:divsChild>
                        <w:div w:id="1155104291">
                          <w:marLeft w:val="0"/>
                          <w:marRight w:val="0"/>
                          <w:marTop w:val="0"/>
                          <w:marBottom w:val="0"/>
                          <w:divBdr>
                            <w:top w:val="none" w:sz="0" w:space="0" w:color="auto"/>
                            <w:left w:val="none" w:sz="0" w:space="0" w:color="auto"/>
                            <w:bottom w:val="none" w:sz="0" w:space="0" w:color="auto"/>
                            <w:right w:val="none" w:sz="0" w:space="0" w:color="auto"/>
                          </w:divBdr>
                          <w:divsChild>
                            <w:div w:id="951326560">
                              <w:marLeft w:val="0"/>
                              <w:marRight w:val="0"/>
                              <w:marTop w:val="0"/>
                              <w:marBottom w:val="0"/>
                              <w:divBdr>
                                <w:top w:val="none" w:sz="0" w:space="0" w:color="auto"/>
                                <w:left w:val="none" w:sz="0" w:space="0" w:color="auto"/>
                                <w:bottom w:val="none" w:sz="0" w:space="0" w:color="auto"/>
                                <w:right w:val="none" w:sz="0" w:space="0" w:color="auto"/>
                              </w:divBdr>
                              <w:divsChild>
                                <w:div w:id="1432359792">
                                  <w:marLeft w:val="0"/>
                                  <w:marRight w:val="0"/>
                                  <w:marTop w:val="0"/>
                                  <w:marBottom w:val="0"/>
                                  <w:divBdr>
                                    <w:top w:val="none" w:sz="0" w:space="0" w:color="auto"/>
                                    <w:left w:val="none" w:sz="0" w:space="0" w:color="auto"/>
                                    <w:bottom w:val="none" w:sz="0" w:space="0" w:color="auto"/>
                                    <w:right w:val="none" w:sz="0" w:space="0" w:color="auto"/>
                                  </w:divBdr>
                                  <w:divsChild>
                                    <w:div w:id="645479464">
                                      <w:marLeft w:val="0"/>
                                      <w:marRight w:val="0"/>
                                      <w:marTop w:val="0"/>
                                      <w:marBottom w:val="0"/>
                                      <w:divBdr>
                                        <w:top w:val="none" w:sz="0" w:space="0" w:color="auto"/>
                                        <w:left w:val="none" w:sz="0" w:space="0" w:color="auto"/>
                                        <w:bottom w:val="none" w:sz="0" w:space="0" w:color="auto"/>
                                        <w:right w:val="none" w:sz="0" w:space="0" w:color="auto"/>
                                      </w:divBdr>
                                      <w:divsChild>
                                        <w:div w:id="1091969424">
                                          <w:marLeft w:val="0"/>
                                          <w:marRight w:val="0"/>
                                          <w:marTop w:val="0"/>
                                          <w:marBottom w:val="0"/>
                                          <w:divBdr>
                                            <w:top w:val="none" w:sz="0" w:space="0" w:color="auto"/>
                                            <w:left w:val="none" w:sz="0" w:space="0" w:color="auto"/>
                                            <w:bottom w:val="none" w:sz="0" w:space="0" w:color="auto"/>
                                            <w:right w:val="none" w:sz="0" w:space="0" w:color="auto"/>
                                          </w:divBdr>
                                          <w:divsChild>
                                            <w:div w:id="1329598700">
                                              <w:marLeft w:val="0"/>
                                              <w:marRight w:val="0"/>
                                              <w:marTop w:val="0"/>
                                              <w:marBottom w:val="0"/>
                                              <w:divBdr>
                                                <w:top w:val="none" w:sz="0" w:space="0" w:color="auto"/>
                                                <w:left w:val="none" w:sz="0" w:space="0" w:color="auto"/>
                                                <w:bottom w:val="none" w:sz="0" w:space="0" w:color="auto"/>
                                                <w:right w:val="none" w:sz="0" w:space="0" w:color="auto"/>
                                              </w:divBdr>
                                              <w:divsChild>
                                                <w:div w:id="1787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924277">
      <w:bodyDiv w:val="1"/>
      <w:marLeft w:val="0"/>
      <w:marRight w:val="0"/>
      <w:marTop w:val="0"/>
      <w:marBottom w:val="0"/>
      <w:divBdr>
        <w:top w:val="none" w:sz="0" w:space="0" w:color="auto"/>
        <w:left w:val="none" w:sz="0" w:space="0" w:color="auto"/>
        <w:bottom w:val="none" w:sz="0" w:space="0" w:color="auto"/>
        <w:right w:val="none" w:sz="0" w:space="0" w:color="auto"/>
      </w:divBdr>
      <w:divsChild>
        <w:div w:id="729815454">
          <w:marLeft w:val="0"/>
          <w:marRight w:val="0"/>
          <w:marTop w:val="0"/>
          <w:marBottom w:val="0"/>
          <w:divBdr>
            <w:top w:val="none" w:sz="0" w:space="0" w:color="auto"/>
            <w:left w:val="none" w:sz="0" w:space="0" w:color="auto"/>
            <w:bottom w:val="none" w:sz="0" w:space="0" w:color="auto"/>
            <w:right w:val="none" w:sz="0" w:space="0" w:color="auto"/>
          </w:divBdr>
          <w:divsChild>
            <w:div w:id="1331904347">
              <w:marLeft w:val="0"/>
              <w:marRight w:val="0"/>
              <w:marTop w:val="0"/>
              <w:marBottom w:val="0"/>
              <w:divBdr>
                <w:top w:val="none" w:sz="0" w:space="0" w:color="auto"/>
                <w:left w:val="none" w:sz="0" w:space="0" w:color="auto"/>
                <w:bottom w:val="none" w:sz="0" w:space="0" w:color="auto"/>
                <w:right w:val="none" w:sz="0" w:space="0" w:color="auto"/>
              </w:divBdr>
              <w:divsChild>
                <w:div w:id="1163662176">
                  <w:marLeft w:val="0"/>
                  <w:marRight w:val="0"/>
                  <w:marTop w:val="0"/>
                  <w:marBottom w:val="0"/>
                  <w:divBdr>
                    <w:top w:val="none" w:sz="0" w:space="0" w:color="auto"/>
                    <w:left w:val="none" w:sz="0" w:space="0" w:color="auto"/>
                    <w:bottom w:val="none" w:sz="0" w:space="0" w:color="auto"/>
                    <w:right w:val="none" w:sz="0" w:space="0" w:color="auto"/>
                  </w:divBdr>
                  <w:divsChild>
                    <w:div w:id="886768669">
                      <w:marLeft w:val="0"/>
                      <w:marRight w:val="0"/>
                      <w:marTop w:val="0"/>
                      <w:marBottom w:val="0"/>
                      <w:divBdr>
                        <w:top w:val="none" w:sz="0" w:space="0" w:color="auto"/>
                        <w:left w:val="none" w:sz="0" w:space="0" w:color="auto"/>
                        <w:bottom w:val="none" w:sz="0" w:space="0" w:color="auto"/>
                        <w:right w:val="none" w:sz="0" w:space="0" w:color="auto"/>
                      </w:divBdr>
                      <w:divsChild>
                        <w:div w:id="1042438392">
                          <w:marLeft w:val="0"/>
                          <w:marRight w:val="0"/>
                          <w:marTop w:val="0"/>
                          <w:marBottom w:val="0"/>
                          <w:divBdr>
                            <w:top w:val="none" w:sz="0" w:space="0" w:color="auto"/>
                            <w:left w:val="none" w:sz="0" w:space="0" w:color="auto"/>
                            <w:bottom w:val="none" w:sz="0" w:space="0" w:color="auto"/>
                            <w:right w:val="none" w:sz="0" w:space="0" w:color="auto"/>
                          </w:divBdr>
                          <w:divsChild>
                            <w:div w:id="760373937">
                              <w:marLeft w:val="0"/>
                              <w:marRight w:val="0"/>
                              <w:marTop w:val="0"/>
                              <w:marBottom w:val="0"/>
                              <w:divBdr>
                                <w:top w:val="none" w:sz="0" w:space="0" w:color="auto"/>
                                <w:left w:val="none" w:sz="0" w:space="0" w:color="auto"/>
                                <w:bottom w:val="none" w:sz="0" w:space="0" w:color="auto"/>
                                <w:right w:val="none" w:sz="0" w:space="0" w:color="auto"/>
                              </w:divBdr>
                              <w:divsChild>
                                <w:div w:id="1508595095">
                                  <w:marLeft w:val="0"/>
                                  <w:marRight w:val="0"/>
                                  <w:marTop w:val="0"/>
                                  <w:marBottom w:val="0"/>
                                  <w:divBdr>
                                    <w:top w:val="none" w:sz="0" w:space="0" w:color="auto"/>
                                    <w:left w:val="none" w:sz="0" w:space="0" w:color="auto"/>
                                    <w:bottom w:val="none" w:sz="0" w:space="0" w:color="auto"/>
                                    <w:right w:val="none" w:sz="0" w:space="0" w:color="auto"/>
                                  </w:divBdr>
                                  <w:divsChild>
                                    <w:div w:id="2119829236">
                                      <w:marLeft w:val="0"/>
                                      <w:marRight w:val="0"/>
                                      <w:marTop w:val="0"/>
                                      <w:marBottom w:val="0"/>
                                      <w:divBdr>
                                        <w:top w:val="none" w:sz="0" w:space="0" w:color="auto"/>
                                        <w:left w:val="none" w:sz="0" w:space="0" w:color="auto"/>
                                        <w:bottom w:val="none" w:sz="0" w:space="0" w:color="auto"/>
                                        <w:right w:val="none" w:sz="0" w:space="0" w:color="auto"/>
                                      </w:divBdr>
                                      <w:divsChild>
                                        <w:div w:id="1872717014">
                                          <w:marLeft w:val="0"/>
                                          <w:marRight w:val="0"/>
                                          <w:marTop w:val="0"/>
                                          <w:marBottom w:val="0"/>
                                          <w:divBdr>
                                            <w:top w:val="none" w:sz="0" w:space="0" w:color="auto"/>
                                            <w:left w:val="none" w:sz="0" w:space="0" w:color="auto"/>
                                            <w:bottom w:val="none" w:sz="0" w:space="0" w:color="auto"/>
                                            <w:right w:val="none" w:sz="0" w:space="0" w:color="auto"/>
                                          </w:divBdr>
                                          <w:divsChild>
                                            <w:div w:id="2040007897">
                                              <w:marLeft w:val="0"/>
                                              <w:marRight w:val="0"/>
                                              <w:marTop w:val="0"/>
                                              <w:marBottom w:val="0"/>
                                              <w:divBdr>
                                                <w:top w:val="none" w:sz="0" w:space="0" w:color="auto"/>
                                                <w:left w:val="none" w:sz="0" w:space="0" w:color="auto"/>
                                                <w:bottom w:val="none" w:sz="0" w:space="0" w:color="auto"/>
                                                <w:right w:val="none" w:sz="0" w:space="0" w:color="auto"/>
                                              </w:divBdr>
                                              <w:divsChild>
                                                <w:div w:id="710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46949">
      <w:bodyDiv w:val="1"/>
      <w:marLeft w:val="0"/>
      <w:marRight w:val="0"/>
      <w:marTop w:val="0"/>
      <w:marBottom w:val="0"/>
      <w:divBdr>
        <w:top w:val="none" w:sz="0" w:space="0" w:color="auto"/>
        <w:left w:val="none" w:sz="0" w:space="0" w:color="auto"/>
        <w:bottom w:val="none" w:sz="0" w:space="0" w:color="auto"/>
        <w:right w:val="none" w:sz="0" w:space="0" w:color="auto"/>
      </w:divBdr>
      <w:divsChild>
        <w:div w:id="1338070638">
          <w:marLeft w:val="0"/>
          <w:marRight w:val="0"/>
          <w:marTop w:val="0"/>
          <w:marBottom w:val="0"/>
          <w:divBdr>
            <w:top w:val="none" w:sz="0" w:space="0" w:color="auto"/>
            <w:left w:val="none" w:sz="0" w:space="0" w:color="auto"/>
            <w:bottom w:val="none" w:sz="0" w:space="0" w:color="auto"/>
            <w:right w:val="none" w:sz="0" w:space="0" w:color="auto"/>
          </w:divBdr>
          <w:divsChild>
            <w:div w:id="1245454811">
              <w:marLeft w:val="0"/>
              <w:marRight w:val="0"/>
              <w:marTop w:val="0"/>
              <w:marBottom w:val="0"/>
              <w:divBdr>
                <w:top w:val="none" w:sz="0" w:space="0" w:color="auto"/>
                <w:left w:val="none" w:sz="0" w:space="0" w:color="auto"/>
                <w:bottom w:val="none" w:sz="0" w:space="0" w:color="auto"/>
                <w:right w:val="none" w:sz="0" w:space="0" w:color="auto"/>
              </w:divBdr>
              <w:divsChild>
                <w:div w:id="890189566">
                  <w:marLeft w:val="0"/>
                  <w:marRight w:val="0"/>
                  <w:marTop w:val="0"/>
                  <w:marBottom w:val="0"/>
                  <w:divBdr>
                    <w:top w:val="none" w:sz="0" w:space="0" w:color="auto"/>
                    <w:left w:val="none" w:sz="0" w:space="0" w:color="auto"/>
                    <w:bottom w:val="none" w:sz="0" w:space="0" w:color="auto"/>
                    <w:right w:val="none" w:sz="0" w:space="0" w:color="auto"/>
                  </w:divBdr>
                  <w:divsChild>
                    <w:div w:id="1278022121">
                      <w:marLeft w:val="0"/>
                      <w:marRight w:val="0"/>
                      <w:marTop w:val="0"/>
                      <w:marBottom w:val="0"/>
                      <w:divBdr>
                        <w:top w:val="none" w:sz="0" w:space="0" w:color="auto"/>
                        <w:left w:val="none" w:sz="0" w:space="0" w:color="auto"/>
                        <w:bottom w:val="none" w:sz="0" w:space="0" w:color="auto"/>
                        <w:right w:val="none" w:sz="0" w:space="0" w:color="auto"/>
                      </w:divBdr>
                      <w:divsChild>
                        <w:div w:id="2125298311">
                          <w:marLeft w:val="0"/>
                          <w:marRight w:val="0"/>
                          <w:marTop w:val="0"/>
                          <w:marBottom w:val="0"/>
                          <w:divBdr>
                            <w:top w:val="none" w:sz="0" w:space="0" w:color="auto"/>
                            <w:left w:val="none" w:sz="0" w:space="0" w:color="auto"/>
                            <w:bottom w:val="none" w:sz="0" w:space="0" w:color="auto"/>
                            <w:right w:val="none" w:sz="0" w:space="0" w:color="auto"/>
                          </w:divBdr>
                          <w:divsChild>
                            <w:div w:id="1376198878">
                              <w:marLeft w:val="0"/>
                              <w:marRight w:val="0"/>
                              <w:marTop w:val="0"/>
                              <w:marBottom w:val="0"/>
                              <w:divBdr>
                                <w:top w:val="none" w:sz="0" w:space="0" w:color="auto"/>
                                <w:left w:val="none" w:sz="0" w:space="0" w:color="auto"/>
                                <w:bottom w:val="none" w:sz="0" w:space="0" w:color="auto"/>
                                <w:right w:val="none" w:sz="0" w:space="0" w:color="auto"/>
                              </w:divBdr>
                              <w:divsChild>
                                <w:div w:id="702705000">
                                  <w:marLeft w:val="0"/>
                                  <w:marRight w:val="0"/>
                                  <w:marTop w:val="0"/>
                                  <w:marBottom w:val="0"/>
                                  <w:divBdr>
                                    <w:top w:val="none" w:sz="0" w:space="0" w:color="auto"/>
                                    <w:left w:val="none" w:sz="0" w:space="0" w:color="auto"/>
                                    <w:bottom w:val="none" w:sz="0" w:space="0" w:color="auto"/>
                                    <w:right w:val="none" w:sz="0" w:space="0" w:color="auto"/>
                                  </w:divBdr>
                                  <w:divsChild>
                                    <w:div w:id="76101310">
                                      <w:marLeft w:val="0"/>
                                      <w:marRight w:val="0"/>
                                      <w:marTop w:val="0"/>
                                      <w:marBottom w:val="0"/>
                                      <w:divBdr>
                                        <w:top w:val="none" w:sz="0" w:space="0" w:color="auto"/>
                                        <w:left w:val="none" w:sz="0" w:space="0" w:color="auto"/>
                                        <w:bottom w:val="none" w:sz="0" w:space="0" w:color="auto"/>
                                        <w:right w:val="none" w:sz="0" w:space="0" w:color="auto"/>
                                      </w:divBdr>
                                      <w:divsChild>
                                        <w:div w:id="1565990384">
                                          <w:marLeft w:val="0"/>
                                          <w:marRight w:val="0"/>
                                          <w:marTop w:val="0"/>
                                          <w:marBottom w:val="0"/>
                                          <w:divBdr>
                                            <w:top w:val="none" w:sz="0" w:space="0" w:color="auto"/>
                                            <w:left w:val="none" w:sz="0" w:space="0" w:color="auto"/>
                                            <w:bottom w:val="none" w:sz="0" w:space="0" w:color="auto"/>
                                            <w:right w:val="none" w:sz="0" w:space="0" w:color="auto"/>
                                          </w:divBdr>
                                          <w:divsChild>
                                            <w:div w:id="155531927">
                                              <w:marLeft w:val="0"/>
                                              <w:marRight w:val="0"/>
                                              <w:marTop w:val="0"/>
                                              <w:marBottom w:val="0"/>
                                              <w:divBdr>
                                                <w:top w:val="none" w:sz="0" w:space="0" w:color="auto"/>
                                                <w:left w:val="none" w:sz="0" w:space="0" w:color="auto"/>
                                                <w:bottom w:val="none" w:sz="0" w:space="0" w:color="auto"/>
                                                <w:right w:val="none" w:sz="0" w:space="0" w:color="auto"/>
                                              </w:divBdr>
                                              <w:divsChild>
                                                <w:div w:id="6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716032">
      <w:bodyDiv w:val="1"/>
      <w:marLeft w:val="0"/>
      <w:marRight w:val="0"/>
      <w:marTop w:val="0"/>
      <w:marBottom w:val="0"/>
      <w:divBdr>
        <w:top w:val="none" w:sz="0" w:space="0" w:color="auto"/>
        <w:left w:val="none" w:sz="0" w:space="0" w:color="auto"/>
        <w:bottom w:val="none" w:sz="0" w:space="0" w:color="auto"/>
        <w:right w:val="none" w:sz="0" w:space="0" w:color="auto"/>
      </w:divBdr>
      <w:divsChild>
        <w:div w:id="729108498">
          <w:marLeft w:val="0"/>
          <w:marRight w:val="0"/>
          <w:marTop w:val="0"/>
          <w:marBottom w:val="0"/>
          <w:divBdr>
            <w:top w:val="none" w:sz="0" w:space="0" w:color="auto"/>
            <w:left w:val="none" w:sz="0" w:space="0" w:color="auto"/>
            <w:bottom w:val="none" w:sz="0" w:space="0" w:color="auto"/>
            <w:right w:val="none" w:sz="0" w:space="0" w:color="auto"/>
          </w:divBdr>
          <w:divsChild>
            <w:div w:id="1381324871">
              <w:marLeft w:val="0"/>
              <w:marRight w:val="0"/>
              <w:marTop w:val="0"/>
              <w:marBottom w:val="0"/>
              <w:divBdr>
                <w:top w:val="none" w:sz="0" w:space="0" w:color="auto"/>
                <w:left w:val="none" w:sz="0" w:space="0" w:color="auto"/>
                <w:bottom w:val="none" w:sz="0" w:space="0" w:color="auto"/>
                <w:right w:val="none" w:sz="0" w:space="0" w:color="auto"/>
              </w:divBdr>
              <w:divsChild>
                <w:div w:id="879365463">
                  <w:marLeft w:val="0"/>
                  <w:marRight w:val="0"/>
                  <w:marTop w:val="0"/>
                  <w:marBottom w:val="0"/>
                  <w:divBdr>
                    <w:top w:val="none" w:sz="0" w:space="0" w:color="auto"/>
                    <w:left w:val="none" w:sz="0" w:space="0" w:color="auto"/>
                    <w:bottom w:val="none" w:sz="0" w:space="0" w:color="auto"/>
                    <w:right w:val="none" w:sz="0" w:space="0" w:color="auto"/>
                  </w:divBdr>
                  <w:divsChild>
                    <w:div w:id="270549562">
                      <w:marLeft w:val="0"/>
                      <w:marRight w:val="0"/>
                      <w:marTop w:val="0"/>
                      <w:marBottom w:val="0"/>
                      <w:divBdr>
                        <w:top w:val="none" w:sz="0" w:space="0" w:color="auto"/>
                        <w:left w:val="none" w:sz="0" w:space="0" w:color="auto"/>
                        <w:bottom w:val="none" w:sz="0" w:space="0" w:color="auto"/>
                        <w:right w:val="none" w:sz="0" w:space="0" w:color="auto"/>
                      </w:divBdr>
                      <w:divsChild>
                        <w:div w:id="1101755554">
                          <w:marLeft w:val="0"/>
                          <w:marRight w:val="0"/>
                          <w:marTop w:val="0"/>
                          <w:marBottom w:val="0"/>
                          <w:divBdr>
                            <w:top w:val="none" w:sz="0" w:space="0" w:color="auto"/>
                            <w:left w:val="none" w:sz="0" w:space="0" w:color="auto"/>
                            <w:bottom w:val="none" w:sz="0" w:space="0" w:color="auto"/>
                            <w:right w:val="none" w:sz="0" w:space="0" w:color="auto"/>
                          </w:divBdr>
                          <w:divsChild>
                            <w:div w:id="580914989">
                              <w:marLeft w:val="0"/>
                              <w:marRight w:val="0"/>
                              <w:marTop w:val="0"/>
                              <w:marBottom w:val="0"/>
                              <w:divBdr>
                                <w:top w:val="none" w:sz="0" w:space="0" w:color="auto"/>
                                <w:left w:val="none" w:sz="0" w:space="0" w:color="auto"/>
                                <w:bottom w:val="none" w:sz="0" w:space="0" w:color="auto"/>
                                <w:right w:val="none" w:sz="0" w:space="0" w:color="auto"/>
                              </w:divBdr>
                              <w:divsChild>
                                <w:div w:id="790051054">
                                  <w:marLeft w:val="0"/>
                                  <w:marRight w:val="0"/>
                                  <w:marTop w:val="0"/>
                                  <w:marBottom w:val="0"/>
                                  <w:divBdr>
                                    <w:top w:val="none" w:sz="0" w:space="0" w:color="auto"/>
                                    <w:left w:val="none" w:sz="0" w:space="0" w:color="auto"/>
                                    <w:bottom w:val="none" w:sz="0" w:space="0" w:color="auto"/>
                                    <w:right w:val="none" w:sz="0" w:space="0" w:color="auto"/>
                                  </w:divBdr>
                                  <w:divsChild>
                                    <w:div w:id="1449740411">
                                      <w:marLeft w:val="0"/>
                                      <w:marRight w:val="0"/>
                                      <w:marTop w:val="0"/>
                                      <w:marBottom w:val="0"/>
                                      <w:divBdr>
                                        <w:top w:val="none" w:sz="0" w:space="0" w:color="auto"/>
                                        <w:left w:val="none" w:sz="0" w:space="0" w:color="auto"/>
                                        <w:bottom w:val="none" w:sz="0" w:space="0" w:color="auto"/>
                                        <w:right w:val="none" w:sz="0" w:space="0" w:color="auto"/>
                                      </w:divBdr>
                                      <w:divsChild>
                                        <w:div w:id="226376368">
                                          <w:marLeft w:val="0"/>
                                          <w:marRight w:val="0"/>
                                          <w:marTop w:val="0"/>
                                          <w:marBottom w:val="0"/>
                                          <w:divBdr>
                                            <w:top w:val="none" w:sz="0" w:space="0" w:color="auto"/>
                                            <w:left w:val="none" w:sz="0" w:space="0" w:color="auto"/>
                                            <w:bottom w:val="none" w:sz="0" w:space="0" w:color="auto"/>
                                            <w:right w:val="none" w:sz="0" w:space="0" w:color="auto"/>
                                          </w:divBdr>
                                          <w:divsChild>
                                            <w:div w:id="109054180">
                                              <w:marLeft w:val="0"/>
                                              <w:marRight w:val="0"/>
                                              <w:marTop w:val="0"/>
                                              <w:marBottom w:val="0"/>
                                              <w:divBdr>
                                                <w:top w:val="none" w:sz="0" w:space="0" w:color="auto"/>
                                                <w:left w:val="none" w:sz="0" w:space="0" w:color="auto"/>
                                                <w:bottom w:val="none" w:sz="0" w:space="0" w:color="auto"/>
                                                <w:right w:val="none" w:sz="0" w:space="0" w:color="auto"/>
                                              </w:divBdr>
                                              <w:divsChild>
                                                <w:div w:id="4433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217">
                                          <w:marLeft w:val="0"/>
                                          <w:marRight w:val="0"/>
                                          <w:marTop w:val="0"/>
                                          <w:marBottom w:val="0"/>
                                          <w:divBdr>
                                            <w:top w:val="none" w:sz="0" w:space="0" w:color="auto"/>
                                            <w:left w:val="none" w:sz="0" w:space="0" w:color="auto"/>
                                            <w:bottom w:val="none" w:sz="0" w:space="0" w:color="auto"/>
                                            <w:right w:val="none" w:sz="0" w:space="0" w:color="auto"/>
                                          </w:divBdr>
                                          <w:divsChild>
                                            <w:div w:id="1657606185">
                                              <w:marLeft w:val="0"/>
                                              <w:marRight w:val="0"/>
                                              <w:marTop w:val="0"/>
                                              <w:marBottom w:val="0"/>
                                              <w:divBdr>
                                                <w:top w:val="none" w:sz="0" w:space="0" w:color="auto"/>
                                                <w:left w:val="none" w:sz="0" w:space="0" w:color="auto"/>
                                                <w:bottom w:val="none" w:sz="0" w:space="0" w:color="auto"/>
                                                <w:right w:val="none" w:sz="0" w:space="0" w:color="auto"/>
                                              </w:divBdr>
                                              <w:divsChild>
                                                <w:div w:id="317462952">
                                                  <w:marLeft w:val="0"/>
                                                  <w:marRight w:val="0"/>
                                                  <w:marTop w:val="0"/>
                                                  <w:marBottom w:val="0"/>
                                                  <w:divBdr>
                                                    <w:top w:val="none" w:sz="0" w:space="0" w:color="auto"/>
                                                    <w:left w:val="none" w:sz="0" w:space="0" w:color="auto"/>
                                                    <w:bottom w:val="none" w:sz="0" w:space="0" w:color="auto"/>
                                                    <w:right w:val="none" w:sz="0" w:space="0" w:color="auto"/>
                                                  </w:divBdr>
                                                  <w:divsChild>
                                                    <w:div w:id="2061200978">
                                                      <w:marLeft w:val="0"/>
                                                      <w:marRight w:val="0"/>
                                                      <w:marTop w:val="0"/>
                                                      <w:marBottom w:val="0"/>
                                                      <w:divBdr>
                                                        <w:top w:val="none" w:sz="0" w:space="0" w:color="auto"/>
                                                        <w:left w:val="none" w:sz="0" w:space="0" w:color="auto"/>
                                                        <w:bottom w:val="none" w:sz="0" w:space="0" w:color="auto"/>
                                                        <w:right w:val="none" w:sz="0" w:space="0" w:color="auto"/>
                                                      </w:divBdr>
                                                    </w:div>
                                                    <w:div w:id="420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273">
                                              <w:marLeft w:val="0"/>
                                              <w:marRight w:val="0"/>
                                              <w:marTop w:val="0"/>
                                              <w:marBottom w:val="0"/>
                                              <w:divBdr>
                                                <w:top w:val="none" w:sz="0" w:space="0" w:color="auto"/>
                                                <w:left w:val="none" w:sz="0" w:space="0" w:color="auto"/>
                                                <w:bottom w:val="none" w:sz="0" w:space="0" w:color="auto"/>
                                                <w:right w:val="none" w:sz="0" w:space="0" w:color="auto"/>
                                              </w:divBdr>
                                              <w:divsChild>
                                                <w:div w:id="701058521">
                                                  <w:marLeft w:val="0"/>
                                                  <w:marRight w:val="0"/>
                                                  <w:marTop w:val="0"/>
                                                  <w:marBottom w:val="0"/>
                                                  <w:divBdr>
                                                    <w:top w:val="none" w:sz="0" w:space="0" w:color="auto"/>
                                                    <w:left w:val="none" w:sz="0" w:space="0" w:color="auto"/>
                                                    <w:bottom w:val="none" w:sz="0" w:space="0" w:color="auto"/>
                                                    <w:right w:val="none" w:sz="0" w:space="0" w:color="auto"/>
                                                  </w:divBdr>
                                                  <w:divsChild>
                                                    <w:div w:id="1533610151">
                                                      <w:marLeft w:val="0"/>
                                                      <w:marRight w:val="0"/>
                                                      <w:marTop w:val="0"/>
                                                      <w:marBottom w:val="0"/>
                                                      <w:divBdr>
                                                        <w:top w:val="none" w:sz="0" w:space="0" w:color="auto"/>
                                                        <w:left w:val="none" w:sz="0" w:space="0" w:color="auto"/>
                                                        <w:bottom w:val="none" w:sz="0" w:space="0" w:color="auto"/>
                                                        <w:right w:val="none" w:sz="0" w:space="0" w:color="auto"/>
                                                      </w:divBdr>
                                                    </w:div>
                                                    <w:div w:id="10016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068940">
      <w:bodyDiv w:val="1"/>
      <w:marLeft w:val="0"/>
      <w:marRight w:val="0"/>
      <w:marTop w:val="0"/>
      <w:marBottom w:val="0"/>
      <w:divBdr>
        <w:top w:val="none" w:sz="0" w:space="0" w:color="auto"/>
        <w:left w:val="none" w:sz="0" w:space="0" w:color="auto"/>
        <w:bottom w:val="none" w:sz="0" w:space="0" w:color="auto"/>
        <w:right w:val="none" w:sz="0" w:space="0" w:color="auto"/>
      </w:divBdr>
      <w:divsChild>
        <w:div w:id="936838036">
          <w:marLeft w:val="0"/>
          <w:marRight w:val="0"/>
          <w:marTop w:val="0"/>
          <w:marBottom w:val="0"/>
          <w:divBdr>
            <w:top w:val="none" w:sz="0" w:space="0" w:color="auto"/>
            <w:left w:val="none" w:sz="0" w:space="0" w:color="auto"/>
            <w:bottom w:val="none" w:sz="0" w:space="0" w:color="auto"/>
            <w:right w:val="none" w:sz="0" w:space="0" w:color="auto"/>
          </w:divBdr>
          <w:divsChild>
            <w:div w:id="346249330">
              <w:marLeft w:val="0"/>
              <w:marRight w:val="0"/>
              <w:marTop w:val="0"/>
              <w:marBottom w:val="0"/>
              <w:divBdr>
                <w:top w:val="none" w:sz="0" w:space="0" w:color="auto"/>
                <w:left w:val="none" w:sz="0" w:space="0" w:color="auto"/>
                <w:bottom w:val="none" w:sz="0" w:space="0" w:color="auto"/>
                <w:right w:val="none" w:sz="0" w:space="0" w:color="auto"/>
              </w:divBdr>
              <w:divsChild>
                <w:div w:id="1075665036">
                  <w:marLeft w:val="0"/>
                  <w:marRight w:val="0"/>
                  <w:marTop w:val="0"/>
                  <w:marBottom w:val="0"/>
                  <w:divBdr>
                    <w:top w:val="none" w:sz="0" w:space="0" w:color="auto"/>
                    <w:left w:val="none" w:sz="0" w:space="0" w:color="auto"/>
                    <w:bottom w:val="none" w:sz="0" w:space="0" w:color="auto"/>
                    <w:right w:val="none" w:sz="0" w:space="0" w:color="auto"/>
                  </w:divBdr>
                  <w:divsChild>
                    <w:div w:id="978269036">
                      <w:marLeft w:val="0"/>
                      <w:marRight w:val="0"/>
                      <w:marTop w:val="0"/>
                      <w:marBottom w:val="0"/>
                      <w:divBdr>
                        <w:top w:val="none" w:sz="0" w:space="0" w:color="auto"/>
                        <w:left w:val="none" w:sz="0" w:space="0" w:color="auto"/>
                        <w:bottom w:val="none" w:sz="0" w:space="0" w:color="auto"/>
                        <w:right w:val="none" w:sz="0" w:space="0" w:color="auto"/>
                      </w:divBdr>
                      <w:divsChild>
                        <w:div w:id="2069180561">
                          <w:marLeft w:val="0"/>
                          <w:marRight w:val="0"/>
                          <w:marTop w:val="0"/>
                          <w:marBottom w:val="0"/>
                          <w:divBdr>
                            <w:top w:val="none" w:sz="0" w:space="0" w:color="auto"/>
                            <w:left w:val="none" w:sz="0" w:space="0" w:color="auto"/>
                            <w:bottom w:val="none" w:sz="0" w:space="0" w:color="auto"/>
                            <w:right w:val="none" w:sz="0" w:space="0" w:color="auto"/>
                          </w:divBdr>
                          <w:divsChild>
                            <w:div w:id="1186820961">
                              <w:marLeft w:val="0"/>
                              <w:marRight w:val="0"/>
                              <w:marTop w:val="0"/>
                              <w:marBottom w:val="0"/>
                              <w:divBdr>
                                <w:top w:val="none" w:sz="0" w:space="0" w:color="auto"/>
                                <w:left w:val="none" w:sz="0" w:space="0" w:color="auto"/>
                                <w:bottom w:val="none" w:sz="0" w:space="0" w:color="auto"/>
                                <w:right w:val="none" w:sz="0" w:space="0" w:color="auto"/>
                              </w:divBdr>
                              <w:divsChild>
                                <w:div w:id="447235192">
                                  <w:marLeft w:val="0"/>
                                  <w:marRight w:val="0"/>
                                  <w:marTop w:val="0"/>
                                  <w:marBottom w:val="0"/>
                                  <w:divBdr>
                                    <w:top w:val="none" w:sz="0" w:space="0" w:color="auto"/>
                                    <w:left w:val="none" w:sz="0" w:space="0" w:color="auto"/>
                                    <w:bottom w:val="none" w:sz="0" w:space="0" w:color="auto"/>
                                    <w:right w:val="none" w:sz="0" w:space="0" w:color="auto"/>
                                  </w:divBdr>
                                  <w:divsChild>
                                    <w:div w:id="1268998775">
                                      <w:marLeft w:val="0"/>
                                      <w:marRight w:val="0"/>
                                      <w:marTop w:val="0"/>
                                      <w:marBottom w:val="0"/>
                                      <w:divBdr>
                                        <w:top w:val="none" w:sz="0" w:space="0" w:color="auto"/>
                                        <w:left w:val="none" w:sz="0" w:space="0" w:color="auto"/>
                                        <w:bottom w:val="none" w:sz="0" w:space="0" w:color="auto"/>
                                        <w:right w:val="none" w:sz="0" w:space="0" w:color="auto"/>
                                      </w:divBdr>
                                      <w:divsChild>
                                        <w:div w:id="1197307571">
                                          <w:marLeft w:val="0"/>
                                          <w:marRight w:val="0"/>
                                          <w:marTop w:val="0"/>
                                          <w:marBottom w:val="0"/>
                                          <w:divBdr>
                                            <w:top w:val="none" w:sz="0" w:space="0" w:color="auto"/>
                                            <w:left w:val="none" w:sz="0" w:space="0" w:color="auto"/>
                                            <w:bottom w:val="none" w:sz="0" w:space="0" w:color="auto"/>
                                            <w:right w:val="none" w:sz="0" w:space="0" w:color="auto"/>
                                          </w:divBdr>
                                          <w:divsChild>
                                            <w:div w:id="1104227533">
                                              <w:marLeft w:val="0"/>
                                              <w:marRight w:val="0"/>
                                              <w:marTop w:val="0"/>
                                              <w:marBottom w:val="0"/>
                                              <w:divBdr>
                                                <w:top w:val="none" w:sz="0" w:space="0" w:color="auto"/>
                                                <w:left w:val="none" w:sz="0" w:space="0" w:color="auto"/>
                                                <w:bottom w:val="none" w:sz="0" w:space="0" w:color="auto"/>
                                                <w:right w:val="none" w:sz="0" w:space="0" w:color="auto"/>
                                              </w:divBdr>
                                              <w:divsChild>
                                                <w:div w:id="1902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762214">
      <w:bodyDiv w:val="1"/>
      <w:marLeft w:val="0"/>
      <w:marRight w:val="0"/>
      <w:marTop w:val="0"/>
      <w:marBottom w:val="0"/>
      <w:divBdr>
        <w:top w:val="none" w:sz="0" w:space="0" w:color="auto"/>
        <w:left w:val="none" w:sz="0" w:space="0" w:color="auto"/>
        <w:bottom w:val="none" w:sz="0" w:space="0" w:color="auto"/>
        <w:right w:val="none" w:sz="0" w:space="0" w:color="auto"/>
      </w:divBdr>
      <w:divsChild>
        <w:div w:id="1409617133">
          <w:marLeft w:val="0"/>
          <w:marRight w:val="0"/>
          <w:marTop w:val="0"/>
          <w:marBottom w:val="0"/>
          <w:divBdr>
            <w:top w:val="none" w:sz="0" w:space="0" w:color="auto"/>
            <w:left w:val="none" w:sz="0" w:space="0" w:color="auto"/>
            <w:bottom w:val="none" w:sz="0" w:space="0" w:color="auto"/>
            <w:right w:val="none" w:sz="0" w:space="0" w:color="auto"/>
          </w:divBdr>
          <w:divsChild>
            <w:div w:id="1917477316">
              <w:marLeft w:val="0"/>
              <w:marRight w:val="0"/>
              <w:marTop w:val="0"/>
              <w:marBottom w:val="0"/>
              <w:divBdr>
                <w:top w:val="none" w:sz="0" w:space="0" w:color="auto"/>
                <w:left w:val="none" w:sz="0" w:space="0" w:color="auto"/>
                <w:bottom w:val="none" w:sz="0" w:space="0" w:color="auto"/>
                <w:right w:val="none" w:sz="0" w:space="0" w:color="auto"/>
              </w:divBdr>
              <w:divsChild>
                <w:div w:id="470514896">
                  <w:marLeft w:val="0"/>
                  <w:marRight w:val="0"/>
                  <w:marTop w:val="0"/>
                  <w:marBottom w:val="0"/>
                  <w:divBdr>
                    <w:top w:val="none" w:sz="0" w:space="0" w:color="auto"/>
                    <w:left w:val="none" w:sz="0" w:space="0" w:color="auto"/>
                    <w:bottom w:val="none" w:sz="0" w:space="0" w:color="auto"/>
                    <w:right w:val="none" w:sz="0" w:space="0" w:color="auto"/>
                  </w:divBdr>
                  <w:divsChild>
                    <w:div w:id="114256110">
                      <w:marLeft w:val="0"/>
                      <w:marRight w:val="0"/>
                      <w:marTop w:val="0"/>
                      <w:marBottom w:val="0"/>
                      <w:divBdr>
                        <w:top w:val="none" w:sz="0" w:space="0" w:color="auto"/>
                        <w:left w:val="none" w:sz="0" w:space="0" w:color="auto"/>
                        <w:bottom w:val="none" w:sz="0" w:space="0" w:color="auto"/>
                        <w:right w:val="none" w:sz="0" w:space="0" w:color="auto"/>
                      </w:divBdr>
                      <w:divsChild>
                        <w:div w:id="1121143106">
                          <w:marLeft w:val="0"/>
                          <w:marRight w:val="0"/>
                          <w:marTop w:val="0"/>
                          <w:marBottom w:val="0"/>
                          <w:divBdr>
                            <w:top w:val="none" w:sz="0" w:space="0" w:color="auto"/>
                            <w:left w:val="none" w:sz="0" w:space="0" w:color="auto"/>
                            <w:bottom w:val="none" w:sz="0" w:space="0" w:color="auto"/>
                            <w:right w:val="none" w:sz="0" w:space="0" w:color="auto"/>
                          </w:divBdr>
                          <w:divsChild>
                            <w:div w:id="73861879">
                              <w:marLeft w:val="0"/>
                              <w:marRight w:val="0"/>
                              <w:marTop w:val="0"/>
                              <w:marBottom w:val="0"/>
                              <w:divBdr>
                                <w:top w:val="none" w:sz="0" w:space="0" w:color="auto"/>
                                <w:left w:val="none" w:sz="0" w:space="0" w:color="auto"/>
                                <w:bottom w:val="none" w:sz="0" w:space="0" w:color="auto"/>
                                <w:right w:val="none" w:sz="0" w:space="0" w:color="auto"/>
                              </w:divBdr>
                              <w:divsChild>
                                <w:div w:id="1369254745">
                                  <w:marLeft w:val="0"/>
                                  <w:marRight w:val="0"/>
                                  <w:marTop w:val="0"/>
                                  <w:marBottom w:val="0"/>
                                  <w:divBdr>
                                    <w:top w:val="none" w:sz="0" w:space="0" w:color="auto"/>
                                    <w:left w:val="none" w:sz="0" w:space="0" w:color="auto"/>
                                    <w:bottom w:val="none" w:sz="0" w:space="0" w:color="auto"/>
                                    <w:right w:val="none" w:sz="0" w:space="0" w:color="auto"/>
                                  </w:divBdr>
                                  <w:divsChild>
                                    <w:div w:id="310334602">
                                      <w:marLeft w:val="0"/>
                                      <w:marRight w:val="0"/>
                                      <w:marTop w:val="0"/>
                                      <w:marBottom w:val="0"/>
                                      <w:divBdr>
                                        <w:top w:val="none" w:sz="0" w:space="0" w:color="auto"/>
                                        <w:left w:val="none" w:sz="0" w:space="0" w:color="auto"/>
                                        <w:bottom w:val="none" w:sz="0" w:space="0" w:color="auto"/>
                                        <w:right w:val="none" w:sz="0" w:space="0" w:color="auto"/>
                                      </w:divBdr>
                                      <w:divsChild>
                                        <w:div w:id="694186209">
                                          <w:marLeft w:val="0"/>
                                          <w:marRight w:val="0"/>
                                          <w:marTop w:val="0"/>
                                          <w:marBottom w:val="0"/>
                                          <w:divBdr>
                                            <w:top w:val="none" w:sz="0" w:space="0" w:color="auto"/>
                                            <w:left w:val="none" w:sz="0" w:space="0" w:color="auto"/>
                                            <w:bottom w:val="none" w:sz="0" w:space="0" w:color="auto"/>
                                            <w:right w:val="none" w:sz="0" w:space="0" w:color="auto"/>
                                          </w:divBdr>
                                          <w:divsChild>
                                            <w:div w:id="1722484734">
                                              <w:marLeft w:val="0"/>
                                              <w:marRight w:val="0"/>
                                              <w:marTop w:val="0"/>
                                              <w:marBottom w:val="0"/>
                                              <w:divBdr>
                                                <w:top w:val="none" w:sz="0" w:space="0" w:color="auto"/>
                                                <w:left w:val="none" w:sz="0" w:space="0" w:color="auto"/>
                                                <w:bottom w:val="none" w:sz="0" w:space="0" w:color="auto"/>
                                                <w:right w:val="none" w:sz="0" w:space="0" w:color="auto"/>
                                              </w:divBdr>
                                              <w:divsChild>
                                                <w:div w:id="1130170047">
                                                  <w:marLeft w:val="0"/>
                                                  <w:marRight w:val="0"/>
                                                  <w:marTop w:val="0"/>
                                                  <w:marBottom w:val="0"/>
                                                  <w:divBdr>
                                                    <w:top w:val="none" w:sz="0" w:space="0" w:color="auto"/>
                                                    <w:left w:val="none" w:sz="0" w:space="0" w:color="auto"/>
                                                    <w:bottom w:val="none" w:sz="0" w:space="0" w:color="auto"/>
                                                    <w:right w:val="none" w:sz="0" w:space="0" w:color="auto"/>
                                                  </w:divBdr>
                                                  <w:divsChild>
                                                    <w:div w:id="214242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714887476">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4">
          <w:marLeft w:val="0"/>
          <w:marRight w:val="0"/>
          <w:marTop w:val="0"/>
          <w:marBottom w:val="0"/>
          <w:divBdr>
            <w:top w:val="none" w:sz="0" w:space="0" w:color="auto"/>
            <w:left w:val="none" w:sz="0" w:space="0" w:color="auto"/>
            <w:bottom w:val="none" w:sz="0" w:space="0" w:color="auto"/>
            <w:right w:val="none" w:sz="0" w:space="0" w:color="auto"/>
          </w:divBdr>
          <w:divsChild>
            <w:div w:id="588662532">
              <w:marLeft w:val="0"/>
              <w:marRight w:val="0"/>
              <w:marTop w:val="0"/>
              <w:marBottom w:val="0"/>
              <w:divBdr>
                <w:top w:val="none" w:sz="0" w:space="0" w:color="auto"/>
                <w:left w:val="none" w:sz="0" w:space="0" w:color="auto"/>
                <w:bottom w:val="none" w:sz="0" w:space="0" w:color="auto"/>
                <w:right w:val="none" w:sz="0" w:space="0" w:color="auto"/>
              </w:divBdr>
              <w:divsChild>
                <w:div w:id="1771312557">
                  <w:marLeft w:val="0"/>
                  <w:marRight w:val="0"/>
                  <w:marTop w:val="0"/>
                  <w:marBottom w:val="0"/>
                  <w:divBdr>
                    <w:top w:val="none" w:sz="0" w:space="0" w:color="auto"/>
                    <w:left w:val="none" w:sz="0" w:space="0" w:color="auto"/>
                    <w:bottom w:val="none" w:sz="0" w:space="0" w:color="auto"/>
                    <w:right w:val="none" w:sz="0" w:space="0" w:color="auto"/>
                  </w:divBdr>
                  <w:divsChild>
                    <w:div w:id="1727873098">
                      <w:marLeft w:val="0"/>
                      <w:marRight w:val="0"/>
                      <w:marTop w:val="0"/>
                      <w:marBottom w:val="0"/>
                      <w:divBdr>
                        <w:top w:val="none" w:sz="0" w:space="0" w:color="auto"/>
                        <w:left w:val="none" w:sz="0" w:space="0" w:color="auto"/>
                        <w:bottom w:val="none" w:sz="0" w:space="0" w:color="auto"/>
                        <w:right w:val="none" w:sz="0" w:space="0" w:color="auto"/>
                      </w:divBdr>
                      <w:divsChild>
                        <w:div w:id="381515583">
                          <w:marLeft w:val="0"/>
                          <w:marRight w:val="0"/>
                          <w:marTop w:val="0"/>
                          <w:marBottom w:val="0"/>
                          <w:divBdr>
                            <w:top w:val="none" w:sz="0" w:space="0" w:color="auto"/>
                            <w:left w:val="none" w:sz="0" w:space="0" w:color="auto"/>
                            <w:bottom w:val="none" w:sz="0" w:space="0" w:color="auto"/>
                            <w:right w:val="none" w:sz="0" w:space="0" w:color="auto"/>
                          </w:divBdr>
                          <w:divsChild>
                            <w:div w:id="1318604773">
                              <w:marLeft w:val="0"/>
                              <w:marRight w:val="0"/>
                              <w:marTop w:val="0"/>
                              <w:marBottom w:val="0"/>
                              <w:divBdr>
                                <w:top w:val="none" w:sz="0" w:space="0" w:color="auto"/>
                                <w:left w:val="none" w:sz="0" w:space="0" w:color="auto"/>
                                <w:bottom w:val="none" w:sz="0" w:space="0" w:color="auto"/>
                                <w:right w:val="none" w:sz="0" w:space="0" w:color="auto"/>
                              </w:divBdr>
                              <w:divsChild>
                                <w:div w:id="1944533401">
                                  <w:marLeft w:val="0"/>
                                  <w:marRight w:val="0"/>
                                  <w:marTop w:val="0"/>
                                  <w:marBottom w:val="0"/>
                                  <w:divBdr>
                                    <w:top w:val="none" w:sz="0" w:space="0" w:color="auto"/>
                                    <w:left w:val="none" w:sz="0" w:space="0" w:color="auto"/>
                                    <w:bottom w:val="none" w:sz="0" w:space="0" w:color="auto"/>
                                    <w:right w:val="none" w:sz="0" w:space="0" w:color="auto"/>
                                  </w:divBdr>
                                  <w:divsChild>
                                    <w:div w:id="1832215332">
                                      <w:marLeft w:val="0"/>
                                      <w:marRight w:val="0"/>
                                      <w:marTop w:val="0"/>
                                      <w:marBottom w:val="0"/>
                                      <w:divBdr>
                                        <w:top w:val="none" w:sz="0" w:space="0" w:color="auto"/>
                                        <w:left w:val="none" w:sz="0" w:space="0" w:color="auto"/>
                                        <w:bottom w:val="none" w:sz="0" w:space="0" w:color="auto"/>
                                        <w:right w:val="none" w:sz="0" w:space="0" w:color="auto"/>
                                      </w:divBdr>
                                      <w:divsChild>
                                        <w:div w:id="178280604">
                                          <w:marLeft w:val="0"/>
                                          <w:marRight w:val="0"/>
                                          <w:marTop w:val="0"/>
                                          <w:marBottom w:val="0"/>
                                          <w:divBdr>
                                            <w:top w:val="none" w:sz="0" w:space="0" w:color="auto"/>
                                            <w:left w:val="none" w:sz="0" w:space="0" w:color="auto"/>
                                            <w:bottom w:val="none" w:sz="0" w:space="0" w:color="auto"/>
                                            <w:right w:val="none" w:sz="0" w:space="0" w:color="auto"/>
                                          </w:divBdr>
                                          <w:divsChild>
                                            <w:div w:id="1131243244">
                                              <w:marLeft w:val="0"/>
                                              <w:marRight w:val="0"/>
                                              <w:marTop w:val="0"/>
                                              <w:marBottom w:val="0"/>
                                              <w:divBdr>
                                                <w:top w:val="none" w:sz="0" w:space="0" w:color="auto"/>
                                                <w:left w:val="none" w:sz="0" w:space="0" w:color="auto"/>
                                                <w:bottom w:val="none" w:sz="0" w:space="0" w:color="auto"/>
                                                <w:right w:val="none" w:sz="0" w:space="0" w:color="auto"/>
                                              </w:divBdr>
                                              <w:divsChild>
                                                <w:div w:id="1703046133">
                                                  <w:marLeft w:val="0"/>
                                                  <w:marRight w:val="0"/>
                                                  <w:marTop w:val="0"/>
                                                  <w:marBottom w:val="0"/>
                                                  <w:divBdr>
                                                    <w:top w:val="none" w:sz="0" w:space="0" w:color="auto"/>
                                                    <w:left w:val="none" w:sz="0" w:space="0" w:color="auto"/>
                                                    <w:bottom w:val="none" w:sz="0" w:space="0" w:color="auto"/>
                                                    <w:right w:val="none" w:sz="0" w:space="0" w:color="auto"/>
                                                  </w:divBdr>
                                                  <w:divsChild>
                                                    <w:div w:id="19676569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842701311">
      <w:bodyDiv w:val="1"/>
      <w:marLeft w:val="0"/>
      <w:marRight w:val="0"/>
      <w:marTop w:val="0"/>
      <w:marBottom w:val="0"/>
      <w:divBdr>
        <w:top w:val="none" w:sz="0" w:space="0" w:color="auto"/>
        <w:left w:val="none" w:sz="0" w:space="0" w:color="auto"/>
        <w:bottom w:val="none" w:sz="0" w:space="0" w:color="auto"/>
        <w:right w:val="none" w:sz="0" w:space="0" w:color="auto"/>
      </w:divBdr>
      <w:divsChild>
        <w:div w:id="1008023135">
          <w:marLeft w:val="0"/>
          <w:marRight w:val="0"/>
          <w:marTop w:val="0"/>
          <w:marBottom w:val="0"/>
          <w:divBdr>
            <w:top w:val="none" w:sz="0" w:space="0" w:color="auto"/>
            <w:left w:val="none" w:sz="0" w:space="0" w:color="auto"/>
            <w:bottom w:val="none" w:sz="0" w:space="0" w:color="auto"/>
            <w:right w:val="none" w:sz="0" w:space="0" w:color="auto"/>
          </w:divBdr>
          <w:divsChild>
            <w:div w:id="1392264909">
              <w:marLeft w:val="0"/>
              <w:marRight w:val="0"/>
              <w:marTop w:val="0"/>
              <w:marBottom w:val="0"/>
              <w:divBdr>
                <w:top w:val="none" w:sz="0" w:space="0" w:color="auto"/>
                <w:left w:val="none" w:sz="0" w:space="0" w:color="auto"/>
                <w:bottom w:val="none" w:sz="0" w:space="0" w:color="auto"/>
                <w:right w:val="none" w:sz="0" w:space="0" w:color="auto"/>
              </w:divBdr>
              <w:divsChild>
                <w:div w:id="1949316589">
                  <w:marLeft w:val="0"/>
                  <w:marRight w:val="0"/>
                  <w:marTop w:val="0"/>
                  <w:marBottom w:val="0"/>
                  <w:divBdr>
                    <w:top w:val="none" w:sz="0" w:space="0" w:color="auto"/>
                    <w:left w:val="none" w:sz="0" w:space="0" w:color="auto"/>
                    <w:bottom w:val="none" w:sz="0" w:space="0" w:color="auto"/>
                    <w:right w:val="none" w:sz="0" w:space="0" w:color="auto"/>
                  </w:divBdr>
                  <w:divsChild>
                    <w:div w:id="622075986">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sChild>
                            <w:div w:id="1493832412">
                              <w:marLeft w:val="0"/>
                              <w:marRight w:val="0"/>
                              <w:marTop w:val="0"/>
                              <w:marBottom w:val="0"/>
                              <w:divBdr>
                                <w:top w:val="none" w:sz="0" w:space="0" w:color="auto"/>
                                <w:left w:val="none" w:sz="0" w:space="0" w:color="auto"/>
                                <w:bottom w:val="none" w:sz="0" w:space="0" w:color="auto"/>
                                <w:right w:val="none" w:sz="0" w:space="0" w:color="auto"/>
                              </w:divBdr>
                              <w:divsChild>
                                <w:div w:id="1812138510">
                                  <w:marLeft w:val="0"/>
                                  <w:marRight w:val="0"/>
                                  <w:marTop w:val="0"/>
                                  <w:marBottom w:val="0"/>
                                  <w:divBdr>
                                    <w:top w:val="none" w:sz="0" w:space="0" w:color="auto"/>
                                    <w:left w:val="none" w:sz="0" w:space="0" w:color="auto"/>
                                    <w:bottom w:val="none" w:sz="0" w:space="0" w:color="auto"/>
                                    <w:right w:val="none" w:sz="0" w:space="0" w:color="auto"/>
                                  </w:divBdr>
                                  <w:divsChild>
                                    <w:div w:id="1639645550">
                                      <w:marLeft w:val="0"/>
                                      <w:marRight w:val="0"/>
                                      <w:marTop w:val="0"/>
                                      <w:marBottom w:val="0"/>
                                      <w:divBdr>
                                        <w:top w:val="none" w:sz="0" w:space="0" w:color="auto"/>
                                        <w:left w:val="none" w:sz="0" w:space="0" w:color="auto"/>
                                        <w:bottom w:val="none" w:sz="0" w:space="0" w:color="auto"/>
                                        <w:right w:val="none" w:sz="0" w:space="0" w:color="auto"/>
                                      </w:divBdr>
                                      <w:divsChild>
                                        <w:div w:id="1350522785">
                                          <w:marLeft w:val="0"/>
                                          <w:marRight w:val="0"/>
                                          <w:marTop w:val="0"/>
                                          <w:marBottom w:val="0"/>
                                          <w:divBdr>
                                            <w:top w:val="none" w:sz="0" w:space="0" w:color="auto"/>
                                            <w:left w:val="none" w:sz="0" w:space="0" w:color="auto"/>
                                            <w:bottom w:val="none" w:sz="0" w:space="0" w:color="auto"/>
                                            <w:right w:val="none" w:sz="0" w:space="0" w:color="auto"/>
                                          </w:divBdr>
                                          <w:divsChild>
                                            <w:div w:id="1881161618">
                                              <w:marLeft w:val="0"/>
                                              <w:marRight w:val="0"/>
                                              <w:marTop w:val="0"/>
                                              <w:marBottom w:val="0"/>
                                              <w:divBdr>
                                                <w:top w:val="none" w:sz="0" w:space="0" w:color="auto"/>
                                                <w:left w:val="none" w:sz="0" w:space="0" w:color="auto"/>
                                                <w:bottom w:val="none" w:sz="0" w:space="0" w:color="auto"/>
                                                <w:right w:val="none" w:sz="0" w:space="0" w:color="auto"/>
                                              </w:divBdr>
                                              <w:divsChild>
                                                <w:div w:id="271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47459">
      <w:bodyDiv w:val="1"/>
      <w:marLeft w:val="0"/>
      <w:marRight w:val="0"/>
      <w:marTop w:val="0"/>
      <w:marBottom w:val="0"/>
      <w:divBdr>
        <w:top w:val="none" w:sz="0" w:space="0" w:color="auto"/>
        <w:left w:val="none" w:sz="0" w:space="0" w:color="auto"/>
        <w:bottom w:val="none" w:sz="0" w:space="0" w:color="auto"/>
        <w:right w:val="none" w:sz="0" w:space="0" w:color="auto"/>
      </w:divBdr>
      <w:divsChild>
        <w:div w:id="440800884">
          <w:marLeft w:val="0"/>
          <w:marRight w:val="0"/>
          <w:marTop w:val="0"/>
          <w:marBottom w:val="0"/>
          <w:divBdr>
            <w:top w:val="none" w:sz="0" w:space="0" w:color="auto"/>
            <w:left w:val="none" w:sz="0" w:space="0" w:color="auto"/>
            <w:bottom w:val="none" w:sz="0" w:space="0" w:color="auto"/>
            <w:right w:val="none" w:sz="0" w:space="0" w:color="auto"/>
          </w:divBdr>
          <w:divsChild>
            <w:div w:id="1534272528">
              <w:marLeft w:val="0"/>
              <w:marRight w:val="0"/>
              <w:marTop w:val="0"/>
              <w:marBottom w:val="0"/>
              <w:divBdr>
                <w:top w:val="none" w:sz="0" w:space="0" w:color="auto"/>
                <w:left w:val="none" w:sz="0" w:space="0" w:color="auto"/>
                <w:bottom w:val="none" w:sz="0" w:space="0" w:color="auto"/>
                <w:right w:val="none" w:sz="0" w:space="0" w:color="auto"/>
              </w:divBdr>
              <w:divsChild>
                <w:div w:id="704450163">
                  <w:marLeft w:val="0"/>
                  <w:marRight w:val="0"/>
                  <w:marTop w:val="0"/>
                  <w:marBottom w:val="0"/>
                  <w:divBdr>
                    <w:top w:val="none" w:sz="0" w:space="0" w:color="auto"/>
                    <w:left w:val="none" w:sz="0" w:space="0" w:color="auto"/>
                    <w:bottom w:val="none" w:sz="0" w:space="0" w:color="auto"/>
                    <w:right w:val="none" w:sz="0" w:space="0" w:color="auto"/>
                  </w:divBdr>
                  <w:divsChild>
                    <w:div w:id="1028213846">
                      <w:marLeft w:val="0"/>
                      <w:marRight w:val="0"/>
                      <w:marTop w:val="0"/>
                      <w:marBottom w:val="0"/>
                      <w:divBdr>
                        <w:top w:val="none" w:sz="0" w:space="0" w:color="auto"/>
                        <w:left w:val="none" w:sz="0" w:space="0" w:color="auto"/>
                        <w:bottom w:val="none" w:sz="0" w:space="0" w:color="auto"/>
                        <w:right w:val="none" w:sz="0" w:space="0" w:color="auto"/>
                      </w:divBdr>
                      <w:divsChild>
                        <w:div w:id="649679139">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sChild>
                                <w:div w:id="1047029704">
                                  <w:marLeft w:val="0"/>
                                  <w:marRight w:val="0"/>
                                  <w:marTop w:val="0"/>
                                  <w:marBottom w:val="0"/>
                                  <w:divBdr>
                                    <w:top w:val="none" w:sz="0" w:space="0" w:color="auto"/>
                                    <w:left w:val="none" w:sz="0" w:space="0" w:color="auto"/>
                                    <w:bottom w:val="none" w:sz="0" w:space="0" w:color="auto"/>
                                    <w:right w:val="none" w:sz="0" w:space="0" w:color="auto"/>
                                  </w:divBdr>
                                  <w:divsChild>
                                    <w:div w:id="1178692090">
                                      <w:marLeft w:val="0"/>
                                      <w:marRight w:val="0"/>
                                      <w:marTop w:val="0"/>
                                      <w:marBottom w:val="0"/>
                                      <w:divBdr>
                                        <w:top w:val="none" w:sz="0" w:space="0" w:color="auto"/>
                                        <w:left w:val="none" w:sz="0" w:space="0" w:color="auto"/>
                                        <w:bottom w:val="none" w:sz="0" w:space="0" w:color="auto"/>
                                        <w:right w:val="none" w:sz="0" w:space="0" w:color="auto"/>
                                      </w:divBdr>
                                      <w:divsChild>
                                        <w:div w:id="800615126">
                                          <w:marLeft w:val="0"/>
                                          <w:marRight w:val="0"/>
                                          <w:marTop w:val="0"/>
                                          <w:marBottom w:val="0"/>
                                          <w:divBdr>
                                            <w:top w:val="none" w:sz="0" w:space="0" w:color="auto"/>
                                            <w:left w:val="none" w:sz="0" w:space="0" w:color="auto"/>
                                            <w:bottom w:val="none" w:sz="0" w:space="0" w:color="auto"/>
                                            <w:right w:val="none" w:sz="0" w:space="0" w:color="auto"/>
                                          </w:divBdr>
                                          <w:divsChild>
                                            <w:div w:id="537157603">
                                              <w:marLeft w:val="0"/>
                                              <w:marRight w:val="0"/>
                                              <w:marTop w:val="0"/>
                                              <w:marBottom w:val="0"/>
                                              <w:divBdr>
                                                <w:top w:val="none" w:sz="0" w:space="0" w:color="auto"/>
                                                <w:left w:val="none" w:sz="0" w:space="0" w:color="auto"/>
                                                <w:bottom w:val="none" w:sz="0" w:space="0" w:color="auto"/>
                                                <w:right w:val="none" w:sz="0" w:space="0" w:color="auto"/>
                                              </w:divBdr>
                                              <w:divsChild>
                                                <w:div w:id="1602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034590">
      <w:bodyDiv w:val="1"/>
      <w:marLeft w:val="0"/>
      <w:marRight w:val="0"/>
      <w:marTop w:val="0"/>
      <w:marBottom w:val="0"/>
      <w:divBdr>
        <w:top w:val="none" w:sz="0" w:space="0" w:color="auto"/>
        <w:left w:val="none" w:sz="0" w:space="0" w:color="auto"/>
        <w:bottom w:val="none" w:sz="0" w:space="0" w:color="auto"/>
        <w:right w:val="none" w:sz="0" w:space="0" w:color="auto"/>
      </w:divBdr>
      <w:divsChild>
        <w:div w:id="800002376">
          <w:marLeft w:val="0"/>
          <w:marRight w:val="0"/>
          <w:marTop w:val="0"/>
          <w:marBottom w:val="0"/>
          <w:divBdr>
            <w:top w:val="none" w:sz="0" w:space="0" w:color="auto"/>
            <w:left w:val="none" w:sz="0" w:space="0" w:color="auto"/>
            <w:bottom w:val="none" w:sz="0" w:space="0" w:color="auto"/>
            <w:right w:val="none" w:sz="0" w:space="0" w:color="auto"/>
          </w:divBdr>
          <w:divsChild>
            <w:div w:id="119931819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0"/>
                  <w:marTop w:val="0"/>
                  <w:marBottom w:val="0"/>
                  <w:divBdr>
                    <w:top w:val="none" w:sz="0" w:space="0" w:color="auto"/>
                    <w:left w:val="none" w:sz="0" w:space="0" w:color="auto"/>
                    <w:bottom w:val="none" w:sz="0" w:space="0" w:color="auto"/>
                    <w:right w:val="none" w:sz="0" w:space="0" w:color="auto"/>
                  </w:divBdr>
                  <w:divsChild>
                    <w:div w:id="1890264492">
                      <w:marLeft w:val="0"/>
                      <w:marRight w:val="0"/>
                      <w:marTop w:val="0"/>
                      <w:marBottom w:val="0"/>
                      <w:divBdr>
                        <w:top w:val="none" w:sz="0" w:space="0" w:color="auto"/>
                        <w:left w:val="none" w:sz="0" w:space="0" w:color="auto"/>
                        <w:bottom w:val="none" w:sz="0" w:space="0" w:color="auto"/>
                        <w:right w:val="none" w:sz="0" w:space="0" w:color="auto"/>
                      </w:divBdr>
                      <w:divsChild>
                        <w:div w:id="1555387167">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sChild>
                                <w:div w:id="104352150">
                                  <w:marLeft w:val="0"/>
                                  <w:marRight w:val="0"/>
                                  <w:marTop w:val="0"/>
                                  <w:marBottom w:val="0"/>
                                  <w:divBdr>
                                    <w:top w:val="none" w:sz="0" w:space="0" w:color="auto"/>
                                    <w:left w:val="none" w:sz="0" w:space="0" w:color="auto"/>
                                    <w:bottom w:val="none" w:sz="0" w:space="0" w:color="auto"/>
                                    <w:right w:val="none" w:sz="0" w:space="0" w:color="auto"/>
                                  </w:divBdr>
                                  <w:divsChild>
                                    <w:div w:id="429937810">
                                      <w:marLeft w:val="0"/>
                                      <w:marRight w:val="0"/>
                                      <w:marTop w:val="0"/>
                                      <w:marBottom w:val="0"/>
                                      <w:divBdr>
                                        <w:top w:val="none" w:sz="0" w:space="0" w:color="auto"/>
                                        <w:left w:val="none" w:sz="0" w:space="0" w:color="auto"/>
                                        <w:bottom w:val="none" w:sz="0" w:space="0" w:color="auto"/>
                                        <w:right w:val="none" w:sz="0" w:space="0" w:color="auto"/>
                                      </w:divBdr>
                                      <w:divsChild>
                                        <w:div w:id="1833059093">
                                          <w:marLeft w:val="0"/>
                                          <w:marRight w:val="0"/>
                                          <w:marTop w:val="0"/>
                                          <w:marBottom w:val="0"/>
                                          <w:divBdr>
                                            <w:top w:val="none" w:sz="0" w:space="0" w:color="auto"/>
                                            <w:left w:val="none" w:sz="0" w:space="0" w:color="auto"/>
                                            <w:bottom w:val="none" w:sz="0" w:space="0" w:color="auto"/>
                                            <w:right w:val="none" w:sz="0" w:space="0" w:color="auto"/>
                                          </w:divBdr>
                                          <w:divsChild>
                                            <w:div w:id="1392847601">
                                              <w:marLeft w:val="0"/>
                                              <w:marRight w:val="0"/>
                                              <w:marTop w:val="0"/>
                                              <w:marBottom w:val="0"/>
                                              <w:divBdr>
                                                <w:top w:val="none" w:sz="0" w:space="0" w:color="auto"/>
                                                <w:left w:val="none" w:sz="0" w:space="0" w:color="auto"/>
                                                <w:bottom w:val="none" w:sz="0" w:space="0" w:color="auto"/>
                                                <w:right w:val="none" w:sz="0" w:space="0" w:color="auto"/>
                                              </w:divBdr>
                                              <w:divsChild>
                                                <w:div w:id="15280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62891">
      <w:bodyDiv w:val="1"/>
      <w:marLeft w:val="0"/>
      <w:marRight w:val="0"/>
      <w:marTop w:val="0"/>
      <w:marBottom w:val="0"/>
      <w:divBdr>
        <w:top w:val="none" w:sz="0" w:space="0" w:color="auto"/>
        <w:left w:val="none" w:sz="0" w:space="0" w:color="auto"/>
        <w:bottom w:val="none" w:sz="0" w:space="0" w:color="auto"/>
        <w:right w:val="none" w:sz="0" w:space="0" w:color="auto"/>
      </w:divBdr>
      <w:divsChild>
        <w:div w:id="597835770">
          <w:marLeft w:val="0"/>
          <w:marRight w:val="0"/>
          <w:marTop w:val="0"/>
          <w:marBottom w:val="0"/>
          <w:divBdr>
            <w:top w:val="none" w:sz="0" w:space="0" w:color="auto"/>
            <w:left w:val="none" w:sz="0" w:space="0" w:color="auto"/>
            <w:bottom w:val="none" w:sz="0" w:space="0" w:color="auto"/>
            <w:right w:val="none" w:sz="0" w:space="0" w:color="auto"/>
          </w:divBdr>
          <w:divsChild>
            <w:div w:id="1795370008">
              <w:marLeft w:val="0"/>
              <w:marRight w:val="0"/>
              <w:marTop w:val="0"/>
              <w:marBottom w:val="0"/>
              <w:divBdr>
                <w:top w:val="none" w:sz="0" w:space="0" w:color="auto"/>
                <w:left w:val="none" w:sz="0" w:space="0" w:color="auto"/>
                <w:bottom w:val="none" w:sz="0" w:space="0" w:color="auto"/>
                <w:right w:val="none" w:sz="0" w:space="0" w:color="auto"/>
              </w:divBdr>
              <w:divsChild>
                <w:div w:id="987976032">
                  <w:marLeft w:val="0"/>
                  <w:marRight w:val="0"/>
                  <w:marTop w:val="0"/>
                  <w:marBottom w:val="0"/>
                  <w:divBdr>
                    <w:top w:val="none" w:sz="0" w:space="0" w:color="auto"/>
                    <w:left w:val="none" w:sz="0" w:space="0" w:color="auto"/>
                    <w:bottom w:val="none" w:sz="0" w:space="0" w:color="auto"/>
                    <w:right w:val="none" w:sz="0" w:space="0" w:color="auto"/>
                  </w:divBdr>
                  <w:divsChild>
                    <w:div w:id="1518426343">
                      <w:marLeft w:val="0"/>
                      <w:marRight w:val="0"/>
                      <w:marTop w:val="0"/>
                      <w:marBottom w:val="0"/>
                      <w:divBdr>
                        <w:top w:val="none" w:sz="0" w:space="0" w:color="auto"/>
                        <w:left w:val="none" w:sz="0" w:space="0" w:color="auto"/>
                        <w:bottom w:val="none" w:sz="0" w:space="0" w:color="auto"/>
                        <w:right w:val="none" w:sz="0" w:space="0" w:color="auto"/>
                      </w:divBdr>
                      <w:divsChild>
                        <w:div w:id="508907482">
                          <w:marLeft w:val="0"/>
                          <w:marRight w:val="0"/>
                          <w:marTop w:val="0"/>
                          <w:marBottom w:val="0"/>
                          <w:divBdr>
                            <w:top w:val="none" w:sz="0" w:space="0" w:color="auto"/>
                            <w:left w:val="none" w:sz="0" w:space="0" w:color="auto"/>
                            <w:bottom w:val="none" w:sz="0" w:space="0" w:color="auto"/>
                            <w:right w:val="none" w:sz="0" w:space="0" w:color="auto"/>
                          </w:divBdr>
                          <w:divsChild>
                            <w:div w:id="1063916656">
                              <w:marLeft w:val="0"/>
                              <w:marRight w:val="0"/>
                              <w:marTop w:val="0"/>
                              <w:marBottom w:val="0"/>
                              <w:divBdr>
                                <w:top w:val="none" w:sz="0" w:space="0" w:color="auto"/>
                                <w:left w:val="none" w:sz="0" w:space="0" w:color="auto"/>
                                <w:bottom w:val="none" w:sz="0" w:space="0" w:color="auto"/>
                                <w:right w:val="none" w:sz="0" w:space="0" w:color="auto"/>
                              </w:divBdr>
                              <w:divsChild>
                                <w:div w:id="1217350913">
                                  <w:marLeft w:val="0"/>
                                  <w:marRight w:val="0"/>
                                  <w:marTop w:val="0"/>
                                  <w:marBottom w:val="0"/>
                                  <w:divBdr>
                                    <w:top w:val="none" w:sz="0" w:space="0" w:color="auto"/>
                                    <w:left w:val="none" w:sz="0" w:space="0" w:color="auto"/>
                                    <w:bottom w:val="none" w:sz="0" w:space="0" w:color="auto"/>
                                    <w:right w:val="none" w:sz="0" w:space="0" w:color="auto"/>
                                  </w:divBdr>
                                  <w:divsChild>
                                    <w:div w:id="1023020909">
                                      <w:marLeft w:val="0"/>
                                      <w:marRight w:val="0"/>
                                      <w:marTop w:val="0"/>
                                      <w:marBottom w:val="0"/>
                                      <w:divBdr>
                                        <w:top w:val="none" w:sz="0" w:space="0" w:color="auto"/>
                                        <w:left w:val="none" w:sz="0" w:space="0" w:color="auto"/>
                                        <w:bottom w:val="none" w:sz="0" w:space="0" w:color="auto"/>
                                        <w:right w:val="none" w:sz="0" w:space="0" w:color="auto"/>
                                      </w:divBdr>
                                      <w:divsChild>
                                        <w:div w:id="18502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7706">
                          <w:marLeft w:val="0"/>
                          <w:marRight w:val="0"/>
                          <w:marTop w:val="0"/>
                          <w:marBottom w:val="0"/>
                          <w:divBdr>
                            <w:top w:val="none" w:sz="0" w:space="0" w:color="auto"/>
                            <w:left w:val="none" w:sz="0" w:space="0" w:color="auto"/>
                            <w:bottom w:val="none" w:sz="0" w:space="0" w:color="auto"/>
                            <w:right w:val="none" w:sz="0" w:space="0" w:color="auto"/>
                          </w:divBdr>
                          <w:divsChild>
                            <w:div w:id="182211705">
                              <w:marLeft w:val="0"/>
                              <w:marRight w:val="0"/>
                              <w:marTop w:val="0"/>
                              <w:marBottom w:val="0"/>
                              <w:divBdr>
                                <w:top w:val="none" w:sz="0" w:space="0" w:color="auto"/>
                                <w:left w:val="none" w:sz="0" w:space="0" w:color="auto"/>
                                <w:bottom w:val="none" w:sz="0" w:space="0" w:color="auto"/>
                                <w:right w:val="none" w:sz="0" w:space="0" w:color="auto"/>
                              </w:divBdr>
                              <w:divsChild>
                                <w:div w:id="1529491540">
                                  <w:marLeft w:val="0"/>
                                  <w:marRight w:val="0"/>
                                  <w:marTop w:val="0"/>
                                  <w:marBottom w:val="0"/>
                                  <w:divBdr>
                                    <w:top w:val="none" w:sz="0" w:space="0" w:color="auto"/>
                                    <w:left w:val="none" w:sz="0" w:space="0" w:color="auto"/>
                                    <w:bottom w:val="none" w:sz="0" w:space="0" w:color="auto"/>
                                    <w:right w:val="none" w:sz="0" w:space="0" w:color="auto"/>
                                  </w:divBdr>
                                  <w:divsChild>
                                    <w:div w:id="1081609389">
                                      <w:marLeft w:val="0"/>
                                      <w:marRight w:val="0"/>
                                      <w:marTop w:val="0"/>
                                      <w:marBottom w:val="0"/>
                                      <w:divBdr>
                                        <w:top w:val="none" w:sz="0" w:space="0" w:color="auto"/>
                                        <w:left w:val="none" w:sz="0" w:space="0" w:color="auto"/>
                                        <w:bottom w:val="none" w:sz="0" w:space="0" w:color="auto"/>
                                        <w:right w:val="none" w:sz="0" w:space="0" w:color="auto"/>
                                      </w:divBdr>
                                      <w:divsChild>
                                        <w:div w:id="1452899119">
                                          <w:marLeft w:val="0"/>
                                          <w:marRight w:val="0"/>
                                          <w:marTop w:val="0"/>
                                          <w:marBottom w:val="0"/>
                                          <w:divBdr>
                                            <w:top w:val="none" w:sz="0" w:space="0" w:color="auto"/>
                                            <w:left w:val="none" w:sz="0" w:space="0" w:color="auto"/>
                                            <w:bottom w:val="none" w:sz="0" w:space="0" w:color="auto"/>
                                            <w:right w:val="none" w:sz="0" w:space="0" w:color="auto"/>
                                          </w:divBdr>
                                          <w:divsChild>
                                            <w:div w:id="1464880733">
                                              <w:marLeft w:val="0"/>
                                              <w:marRight w:val="0"/>
                                              <w:marTop w:val="0"/>
                                              <w:marBottom w:val="0"/>
                                              <w:divBdr>
                                                <w:top w:val="none" w:sz="0" w:space="0" w:color="auto"/>
                                                <w:left w:val="none" w:sz="0" w:space="0" w:color="auto"/>
                                                <w:bottom w:val="none" w:sz="0" w:space="0" w:color="auto"/>
                                                <w:right w:val="none" w:sz="0" w:space="0" w:color="auto"/>
                                              </w:divBdr>
                                              <w:divsChild>
                                                <w:div w:id="2559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71">
                                          <w:marLeft w:val="0"/>
                                          <w:marRight w:val="0"/>
                                          <w:marTop w:val="0"/>
                                          <w:marBottom w:val="0"/>
                                          <w:divBdr>
                                            <w:top w:val="none" w:sz="0" w:space="0" w:color="auto"/>
                                            <w:left w:val="none" w:sz="0" w:space="0" w:color="auto"/>
                                            <w:bottom w:val="none" w:sz="0" w:space="0" w:color="auto"/>
                                            <w:right w:val="none" w:sz="0" w:space="0" w:color="auto"/>
                                          </w:divBdr>
                                          <w:divsChild>
                                            <w:div w:id="918904698">
                                              <w:marLeft w:val="0"/>
                                              <w:marRight w:val="0"/>
                                              <w:marTop w:val="0"/>
                                              <w:marBottom w:val="0"/>
                                              <w:divBdr>
                                                <w:top w:val="none" w:sz="0" w:space="0" w:color="auto"/>
                                                <w:left w:val="none" w:sz="0" w:space="0" w:color="auto"/>
                                                <w:bottom w:val="none" w:sz="0" w:space="0" w:color="auto"/>
                                                <w:right w:val="none" w:sz="0" w:space="0" w:color="auto"/>
                                              </w:divBdr>
                                              <w:divsChild>
                                                <w:div w:id="1526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910263">
      <w:bodyDiv w:val="1"/>
      <w:marLeft w:val="0"/>
      <w:marRight w:val="0"/>
      <w:marTop w:val="0"/>
      <w:marBottom w:val="0"/>
      <w:divBdr>
        <w:top w:val="none" w:sz="0" w:space="0" w:color="auto"/>
        <w:left w:val="none" w:sz="0" w:space="0" w:color="auto"/>
        <w:bottom w:val="none" w:sz="0" w:space="0" w:color="auto"/>
        <w:right w:val="none" w:sz="0" w:space="0" w:color="auto"/>
      </w:divBdr>
      <w:divsChild>
        <w:div w:id="932012402">
          <w:marLeft w:val="0"/>
          <w:marRight w:val="0"/>
          <w:marTop w:val="0"/>
          <w:marBottom w:val="0"/>
          <w:divBdr>
            <w:top w:val="none" w:sz="0" w:space="0" w:color="auto"/>
            <w:left w:val="none" w:sz="0" w:space="0" w:color="auto"/>
            <w:bottom w:val="none" w:sz="0" w:space="0" w:color="auto"/>
            <w:right w:val="none" w:sz="0" w:space="0" w:color="auto"/>
          </w:divBdr>
          <w:divsChild>
            <w:div w:id="2109809257">
              <w:marLeft w:val="0"/>
              <w:marRight w:val="0"/>
              <w:marTop w:val="0"/>
              <w:marBottom w:val="0"/>
              <w:divBdr>
                <w:top w:val="none" w:sz="0" w:space="0" w:color="auto"/>
                <w:left w:val="none" w:sz="0" w:space="0" w:color="auto"/>
                <w:bottom w:val="none" w:sz="0" w:space="0" w:color="auto"/>
                <w:right w:val="none" w:sz="0" w:space="0" w:color="auto"/>
              </w:divBdr>
              <w:divsChild>
                <w:div w:id="712273764">
                  <w:marLeft w:val="0"/>
                  <w:marRight w:val="0"/>
                  <w:marTop w:val="0"/>
                  <w:marBottom w:val="0"/>
                  <w:divBdr>
                    <w:top w:val="none" w:sz="0" w:space="0" w:color="auto"/>
                    <w:left w:val="none" w:sz="0" w:space="0" w:color="auto"/>
                    <w:bottom w:val="none" w:sz="0" w:space="0" w:color="auto"/>
                    <w:right w:val="none" w:sz="0" w:space="0" w:color="auto"/>
                  </w:divBdr>
                  <w:divsChild>
                    <w:div w:id="1408108689">
                      <w:marLeft w:val="0"/>
                      <w:marRight w:val="0"/>
                      <w:marTop w:val="0"/>
                      <w:marBottom w:val="0"/>
                      <w:divBdr>
                        <w:top w:val="none" w:sz="0" w:space="0" w:color="auto"/>
                        <w:left w:val="none" w:sz="0" w:space="0" w:color="auto"/>
                        <w:bottom w:val="none" w:sz="0" w:space="0" w:color="auto"/>
                        <w:right w:val="none" w:sz="0" w:space="0" w:color="auto"/>
                      </w:divBdr>
                      <w:divsChild>
                        <w:div w:id="813721836">
                          <w:marLeft w:val="0"/>
                          <w:marRight w:val="0"/>
                          <w:marTop w:val="0"/>
                          <w:marBottom w:val="0"/>
                          <w:divBdr>
                            <w:top w:val="none" w:sz="0" w:space="0" w:color="auto"/>
                            <w:left w:val="none" w:sz="0" w:space="0" w:color="auto"/>
                            <w:bottom w:val="none" w:sz="0" w:space="0" w:color="auto"/>
                            <w:right w:val="none" w:sz="0" w:space="0" w:color="auto"/>
                          </w:divBdr>
                          <w:divsChild>
                            <w:div w:id="1829782410">
                              <w:marLeft w:val="0"/>
                              <w:marRight w:val="0"/>
                              <w:marTop w:val="0"/>
                              <w:marBottom w:val="0"/>
                              <w:divBdr>
                                <w:top w:val="none" w:sz="0" w:space="0" w:color="auto"/>
                                <w:left w:val="none" w:sz="0" w:space="0" w:color="auto"/>
                                <w:bottom w:val="none" w:sz="0" w:space="0" w:color="auto"/>
                                <w:right w:val="none" w:sz="0" w:space="0" w:color="auto"/>
                              </w:divBdr>
                              <w:divsChild>
                                <w:div w:id="1674528472">
                                  <w:marLeft w:val="0"/>
                                  <w:marRight w:val="0"/>
                                  <w:marTop w:val="0"/>
                                  <w:marBottom w:val="0"/>
                                  <w:divBdr>
                                    <w:top w:val="none" w:sz="0" w:space="0" w:color="auto"/>
                                    <w:left w:val="none" w:sz="0" w:space="0" w:color="auto"/>
                                    <w:bottom w:val="none" w:sz="0" w:space="0" w:color="auto"/>
                                    <w:right w:val="none" w:sz="0" w:space="0" w:color="auto"/>
                                  </w:divBdr>
                                  <w:divsChild>
                                    <w:div w:id="166676861">
                                      <w:marLeft w:val="0"/>
                                      <w:marRight w:val="0"/>
                                      <w:marTop w:val="0"/>
                                      <w:marBottom w:val="0"/>
                                      <w:divBdr>
                                        <w:top w:val="none" w:sz="0" w:space="0" w:color="auto"/>
                                        <w:left w:val="none" w:sz="0" w:space="0" w:color="auto"/>
                                        <w:bottom w:val="none" w:sz="0" w:space="0" w:color="auto"/>
                                        <w:right w:val="none" w:sz="0" w:space="0" w:color="auto"/>
                                      </w:divBdr>
                                      <w:divsChild>
                                        <w:div w:id="1161964717">
                                          <w:marLeft w:val="0"/>
                                          <w:marRight w:val="0"/>
                                          <w:marTop w:val="0"/>
                                          <w:marBottom w:val="0"/>
                                          <w:divBdr>
                                            <w:top w:val="none" w:sz="0" w:space="0" w:color="auto"/>
                                            <w:left w:val="none" w:sz="0" w:space="0" w:color="auto"/>
                                            <w:bottom w:val="none" w:sz="0" w:space="0" w:color="auto"/>
                                            <w:right w:val="none" w:sz="0" w:space="0" w:color="auto"/>
                                          </w:divBdr>
                                          <w:divsChild>
                                            <w:div w:id="1453787298">
                                              <w:marLeft w:val="0"/>
                                              <w:marRight w:val="0"/>
                                              <w:marTop w:val="0"/>
                                              <w:marBottom w:val="0"/>
                                              <w:divBdr>
                                                <w:top w:val="none" w:sz="0" w:space="0" w:color="auto"/>
                                                <w:left w:val="none" w:sz="0" w:space="0" w:color="auto"/>
                                                <w:bottom w:val="none" w:sz="0" w:space="0" w:color="auto"/>
                                                <w:right w:val="none" w:sz="0" w:space="0" w:color="auto"/>
                                              </w:divBdr>
                                              <w:divsChild>
                                                <w:div w:id="157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1817">
      <w:bodyDiv w:val="1"/>
      <w:marLeft w:val="0"/>
      <w:marRight w:val="0"/>
      <w:marTop w:val="0"/>
      <w:marBottom w:val="0"/>
      <w:divBdr>
        <w:top w:val="none" w:sz="0" w:space="0" w:color="auto"/>
        <w:left w:val="none" w:sz="0" w:space="0" w:color="auto"/>
        <w:bottom w:val="none" w:sz="0" w:space="0" w:color="auto"/>
        <w:right w:val="none" w:sz="0" w:space="0" w:color="auto"/>
      </w:divBdr>
      <w:divsChild>
        <w:div w:id="1222794466">
          <w:marLeft w:val="0"/>
          <w:marRight w:val="0"/>
          <w:marTop w:val="0"/>
          <w:marBottom w:val="0"/>
          <w:divBdr>
            <w:top w:val="none" w:sz="0" w:space="0" w:color="auto"/>
            <w:left w:val="none" w:sz="0" w:space="0" w:color="auto"/>
            <w:bottom w:val="none" w:sz="0" w:space="0" w:color="auto"/>
            <w:right w:val="none" w:sz="0" w:space="0" w:color="auto"/>
          </w:divBdr>
          <w:divsChild>
            <w:div w:id="326519261">
              <w:marLeft w:val="0"/>
              <w:marRight w:val="0"/>
              <w:marTop w:val="0"/>
              <w:marBottom w:val="0"/>
              <w:divBdr>
                <w:top w:val="none" w:sz="0" w:space="0" w:color="auto"/>
                <w:left w:val="none" w:sz="0" w:space="0" w:color="auto"/>
                <w:bottom w:val="none" w:sz="0" w:space="0" w:color="auto"/>
                <w:right w:val="none" w:sz="0" w:space="0" w:color="auto"/>
              </w:divBdr>
              <w:divsChild>
                <w:div w:id="344407495">
                  <w:marLeft w:val="0"/>
                  <w:marRight w:val="0"/>
                  <w:marTop w:val="0"/>
                  <w:marBottom w:val="0"/>
                  <w:divBdr>
                    <w:top w:val="none" w:sz="0" w:space="0" w:color="auto"/>
                    <w:left w:val="none" w:sz="0" w:space="0" w:color="auto"/>
                    <w:bottom w:val="none" w:sz="0" w:space="0" w:color="auto"/>
                    <w:right w:val="none" w:sz="0" w:space="0" w:color="auto"/>
                  </w:divBdr>
                  <w:divsChild>
                    <w:div w:id="183593024">
                      <w:marLeft w:val="0"/>
                      <w:marRight w:val="0"/>
                      <w:marTop w:val="0"/>
                      <w:marBottom w:val="0"/>
                      <w:divBdr>
                        <w:top w:val="none" w:sz="0" w:space="0" w:color="auto"/>
                        <w:left w:val="none" w:sz="0" w:space="0" w:color="auto"/>
                        <w:bottom w:val="none" w:sz="0" w:space="0" w:color="auto"/>
                        <w:right w:val="none" w:sz="0" w:space="0" w:color="auto"/>
                      </w:divBdr>
                      <w:divsChild>
                        <w:div w:id="1952931763">
                          <w:marLeft w:val="0"/>
                          <w:marRight w:val="0"/>
                          <w:marTop w:val="0"/>
                          <w:marBottom w:val="0"/>
                          <w:divBdr>
                            <w:top w:val="none" w:sz="0" w:space="0" w:color="auto"/>
                            <w:left w:val="none" w:sz="0" w:space="0" w:color="auto"/>
                            <w:bottom w:val="none" w:sz="0" w:space="0" w:color="auto"/>
                            <w:right w:val="none" w:sz="0" w:space="0" w:color="auto"/>
                          </w:divBdr>
                          <w:divsChild>
                            <w:div w:id="1423839713">
                              <w:marLeft w:val="0"/>
                              <w:marRight w:val="0"/>
                              <w:marTop w:val="0"/>
                              <w:marBottom w:val="0"/>
                              <w:divBdr>
                                <w:top w:val="none" w:sz="0" w:space="0" w:color="auto"/>
                                <w:left w:val="none" w:sz="0" w:space="0" w:color="auto"/>
                                <w:bottom w:val="none" w:sz="0" w:space="0" w:color="auto"/>
                                <w:right w:val="none" w:sz="0" w:space="0" w:color="auto"/>
                              </w:divBdr>
                              <w:divsChild>
                                <w:div w:id="78335013">
                                  <w:marLeft w:val="0"/>
                                  <w:marRight w:val="0"/>
                                  <w:marTop w:val="0"/>
                                  <w:marBottom w:val="0"/>
                                  <w:divBdr>
                                    <w:top w:val="none" w:sz="0" w:space="0" w:color="auto"/>
                                    <w:left w:val="none" w:sz="0" w:space="0" w:color="auto"/>
                                    <w:bottom w:val="none" w:sz="0" w:space="0" w:color="auto"/>
                                    <w:right w:val="none" w:sz="0" w:space="0" w:color="auto"/>
                                  </w:divBdr>
                                  <w:divsChild>
                                    <w:div w:id="62143359">
                                      <w:marLeft w:val="0"/>
                                      <w:marRight w:val="0"/>
                                      <w:marTop w:val="0"/>
                                      <w:marBottom w:val="0"/>
                                      <w:divBdr>
                                        <w:top w:val="none" w:sz="0" w:space="0" w:color="auto"/>
                                        <w:left w:val="none" w:sz="0" w:space="0" w:color="auto"/>
                                        <w:bottom w:val="none" w:sz="0" w:space="0" w:color="auto"/>
                                        <w:right w:val="none" w:sz="0" w:space="0" w:color="auto"/>
                                      </w:divBdr>
                                      <w:divsChild>
                                        <w:div w:id="193349046">
                                          <w:marLeft w:val="0"/>
                                          <w:marRight w:val="0"/>
                                          <w:marTop w:val="0"/>
                                          <w:marBottom w:val="0"/>
                                          <w:divBdr>
                                            <w:top w:val="none" w:sz="0" w:space="0" w:color="auto"/>
                                            <w:left w:val="none" w:sz="0" w:space="0" w:color="auto"/>
                                            <w:bottom w:val="none" w:sz="0" w:space="0" w:color="auto"/>
                                            <w:right w:val="none" w:sz="0" w:space="0" w:color="auto"/>
                                          </w:divBdr>
                                          <w:divsChild>
                                            <w:div w:id="1855262841">
                                              <w:marLeft w:val="0"/>
                                              <w:marRight w:val="0"/>
                                              <w:marTop w:val="0"/>
                                              <w:marBottom w:val="0"/>
                                              <w:divBdr>
                                                <w:top w:val="none" w:sz="0" w:space="0" w:color="auto"/>
                                                <w:left w:val="none" w:sz="0" w:space="0" w:color="auto"/>
                                                <w:bottom w:val="none" w:sz="0" w:space="0" w:color="auto"/>
                                                <w:right w:val="none" w:sz="0" w:space="0" w:color="auto"/>
                                              </w:divBdr>
                                              <w:divsChild>
                                                <w:div w:id="5257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970982">
      <w:bodyDiv w:val="1"/>
      <w:marLeft w:val="0"/>
      <w:marRight w:val="0"/>
      <w:marTop w:val="0"/>
      <w:marBottom w:val="0"/>
      <w:divBdr>
        <w:top w:val="none" w:sz="0" w:space="0" w:color="auto"/>
        <w:left w:val="none" w:sz="0" w:space="0" w:color="auto"/>
        <w:bottom w:val="none" w:sz="0" w:space="0" w:color="auto"/>
        <w:right w:val="none" w:sz="0" w:space="0" w:color="auto"/>
      </w:divBdr>
      <w:divsChild>
        <w:div w:id="335116390">
          <w:marLeft w:val="0"/>
          <w:marRight w:val="0"/>
          <w:marTop w:val="0"/>
          <w:marBottom w:val="0"/>
          <w:divBdr>
            <w:top w:val="none" w:sz="0" w:space="0" w:color="auto"/>
            <w:left w:val="none" w:sz="0" w:space="0" w:color="auto"/>
            <w:bottom w:val="none" w:sz="0" w:space="0" w:color="auto"/>
            <w:right w:val="none" w:sz="0" w:space="0" w:color="auto"/>
          </w:divBdr>
          <w:divsChild>
            <w:div w:id="611090338">
              <w:marLeft w:val="0"/>
              <w:marRight w:val="0"/>
              <w:marTop w:val="0"/>
              <w:marBottom w:val="0"/>
              <w:divBdr>
                <w:top w:val="none" w:sz="0" w:space="0" w:color="auto"/>
                <w:left w:val="none" w:sz="0" w:space="0" w:color="auto"/>
                <w:bottom w:val="none" w:sz="0" w:space="0" w:color="auto"/>
                <w:right w:val="none" w:sz="0" w:space="0" w:color="auto"/>
              </w:divBdr>
              <w:divsChild>
                <w:div w:id="978264721">
                  <w:marLeft w:val="0"/>
                  <w:marRight w:val="0"/>
                  <w:marTop w:val="0"/>
                  <w:marBottom w:val="0"/>
                  <w:divBdr>
                    <w:top w:val="none" w:sz="0" w:space="0" w:color="auto"/>
                    <w:left w:val="none" w:sz="0" w:space="0" w:color="auto"/>
                    <w:bottom w:val="none" w:sz="0" w:space="0" w:color="auto"/>
                    <w:right w:val="none" w:sz="0" w:space="0" w:color="auto"/>
                  </w:divBdr>
                  <w:divsChild>
                    <w:div w:id="2005472929">
                      <w:marLeft w:val="0"/>
                      <w:marRight w:val="0"/>
                      <w:marTop w:val="0"/>
                      <w:marBottom w:val="0"/>
                      <w:divBdr>
                        <w:top w:val="none" w:sz="0" w:space="0" w:color="auto"/>
                        <w:left w:val="none" w:sz="0" w:space="0" w:color="auto"/>
                        <w:bottom w:val="none" w:sz="0" w:space="0" w:color="auto"/>
                        <w:right w:val="none" w:sz="0" w:space="0" w:color="auto"/>
                      </w:divBdr>
                      <w:divsChild>
                        <w:div w:id="153956181">
                          <w:marLeft w:val="0"/>
                          <w:marRight w:val="0"/>
                          <w:marTop w:val="0"/>
                          <w:marBottom w:val="0"/>
                          <w:divBdr>
                            <w:top w:val="none" w:sz="0" w:space="0" w:color="auto"/>
                            <w:left w:val="none" w:sz="0" w:space="0" w:color="auto"/>
                            <w:bottom w:val="none" w:sz="0" w:space="0" w:color="auto"/>
                            <w:right w:val="none" w:sz="0" w:space="0" w:color="auto"/>
                          </w:divBdr>
                          <w:divsChild>
                            <w:div w:id="104271516">
                              <w:marLeft w:val="0"/>
                              <w:marRight w:val="0"/>
                              <w:marTop w:val="0"/>
                              <w:marBottom w:val="0"/>
                              <w:divBdr>
                                <w:top w:val="none" w:sz="0" w:space="0" w:color="auto"/>
                                <w:left w:val="none" w:sz="0" w:space="0" w:color="auto"/>
                                <w:bottom w:val="none" w:sz="0" w:space="0" w:color="auto"/>
                                <w:right w:val="none" w:sz="0" w:space="0" w:color="auto"/>
                              </w:divBdr>
                              <w:divsChild>
                                <w:div w:id="1116825080">
                                  <w:marLeft w:val="0"/>
                                  <w:marRight w:val="0"/>
                                  <w:marTop w:val="0"/>
                                  <w:marBottom w:val="0"/>
                                  <w:divBdr>
                                    <w:top w:val="none" w:sz="0" w:space="0" w:color="auto"/>
                                    <w:left w:val="none" w:sz="0" w:space="0" w:color="auto"/>
                                    <w:bottom w:val="none" w:sz="0" w:space="0" w:color="auto"/>
                                    <w:right w:val="none" w:sz="0" w:space="0" w:color="auto"/>
                                  </w:divBdr>
                                  <w:divsChild>
                                    <w:div w:id="565650116">
                                      <w:marLeft w:val="0"/>
                                      <w:marRight w:val="0"/>
                                      <w:marTop w:val="0"/>
                                      <w:marBottom w:val="0"/>
                                      <w:divBdr>
                                        <w:top w:val="none" w:sz="0" w:space="0" w:color="auto"/>
                                        <w:left w:val="none" w:sz="0" w:space="0" w:color="auto"/>
                                        <w:bottom w:val="none" w:sz="0" w:space="0" w:color="auto"/>
                                        <w:right w:val="none" w:sz="0" w:space="0" w:color="auto"/>
                                      </w:divBdr>
                                      <w:divsChild>
                                        <w:div w:id="2018774832">
                                          <w:marLeft w:val="0"/>
                                          <w:marRight w:val="0"/>
                                          <w:marTop w:val="0"/>
                                          <w:marBottom w:val="0"/>
                                          <w:divBdr>
                                            <w:top w:val="none" w:sz="0" w:space="0" w:color="auto"/>
                                            <w:left w:val="none" w:sz="0" w:space="0" w:color="auto"/>
                                            <w:bottom w:val="none" w:sz="0" w:space="0" w:color="auto"/>
                                            <w:right w:val="none" w:sz="0" w:space="0" w:color="auto"/>
                                          </w:divBdr>
                                          <w:divsChild>
                                            <w:div w:id="410546314">
                                              <w:marLeft w:val="0"/>
                                              <w:marRight w:val="0"/>
                                              <w:marTop w:val="0"/>
                                              <w:marBottom w:val="0"/>
                                              <w:divBdr>
                                                <w:top w:val="none" w:sz="0" w:space="0" w:color="auto"/>
                                                <w:left w:val="none" w:sz="0" w:space="0" w:color="auto"/>
                                                <w:bottom w:val="none" w:sz="0" w:space="0" w:color="auto"/>
                                                <w:right w:val="none" w:sz="0" w:space="0" w:color="auto"/>
                                              </w:divBdr>
                                              <w:divsChild>
                                                <w:div w:id="9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2.education.vic.gov.au/pal/student-resource-package-srp-managing-budget/guidance/6-reconciliation" TargetMode="External"/><Relationship Id="rId21" Type="http://schemas.openxmlformats.org/officeDocument/2006/relationships/hyperlink" Target="https://www2.education.vic.gov.au/pal/student-resource-package-srp-core-student-learning-allocation-funding-student-based-funding-0" TargetMode="External"/><Relationship Id="rId42" Type="http://schemas.openxmlformats.org/officeDocument/2006/relationships/hyperlink" Target="https://www2.education.vic.gov.au/pal/student-resource-package-srp-core-student-learning-allocation-funding-student-based-funding-3-3" TargetMode="External"/><Relationship Id="rId63" Type="http://schemas.openxmlformats.org/officeDocument/2006/relationships/hyperlink" Target="https://www2.education.vic.gov.au/pal/student-resource-package-srp-school-infrastructure/policy" TargetMode="External"/><Relationship Id="rId84" Type="http://schemas.openxmlformats.org/officeDocument/2006/relationships/hyperlink" Target="https://www2.education.vic.gov.au/pal/student-resource-package-srp-targeted-initiatives/guidance/vocational-education-and-training" TargetMode="External"/><Relationship Id="rId138" Type="http://schemas.openxmlformats.org/officeDocument/2006/relationships/hyperlink" Target="https://www2.education.vic.gov.au/pal/student-resource-package-srp-managing-budget/guidance/4-reports" TargetMode="External"/><Relationship Id="rId159" Type="http://schemas.openxmlformats.org/officeDocument/2006/relationships/hyperlink" Target="https://www.eduweb.vic.gov.au/srp/login.aspx?returnUrl=%2fSRP%2fplanner%2fdefault.aspx" TargetMode="External"/><Relationship Id="rId170" Type="http://schemas.openxmlformats.org/officeDocument/2006/relationships/hyperlink" Target="mailto:cashmanagement@edumail.vic.gov.au" TargetMode="External"/><Relationship Id="rId107" Type="http://schemas.openxmlformats.org/officeDocument/2006/relationships/hyperlink" Target="https://www.education.vic.gov.au/about/programs/Pages/headstart.aspx" TargetMode="External"/><Relationship Id="rId11" Type="http://schemas.openxmlformats.org/officeDocument/2006/relationships/hyperlink" Target="https://www2.education.vic.gov.au/pal/student-resource-package-srp-equity-funding-student-based-funding/policy" TargetMode="External"/><Relationship Id="rId32" Type="http://schemas.openxmlformats.org/officeDocument/2006/relationships/hyperlink" Target="https://www2.education.vic.gov.au/pal/student-resource-package-srp-equity-funding-student-based-funding/guidance/10-eal-contingency" TargetMode="External"/><Relationship Id="rId53" Type="http://schemas.openxmlformats.org/officeDocument/2006/relationships/hyperlink" Target="https://www.sro.vic.gov.au/forms/apply-water-and-sewerage-rebate" TargetMode="External"/><Relationship Id="rId74" Type="http://schemas.openxmlformats.org/officeDocument/2006/relationships/hyperlink" Target="https://www2.education.vic.gov.au/pal/student-resource-package-srp-school-specific-programs/guidance/alternative-programs-regional" TargetMode="External"/><Relationship Id="rId128" Type="http://schemas.openxmlformats.org/officeDocument/2006/relationships/hyperlink" Target="https://www2.education.vic.gov.au/pal/higher-duties-teaching-service" TargetMode="External"/><Relationship Id="rId149" Type="http://schemas.openxmlformats.org/officeDocument/2006/relationships/hyperlink" Target="https://www.smartsalary.com.au/" TargetMode="External"/><Relationship Id="rId5" Type="http://schemas.openxmlformats.org/officeDocument/2006/relationships/numbering" Target="numbering.xml"/><Relationship Id="rId95" Type="http://schemas.openxmlformats.org/officeDocument/2006/relationships/hyperlink" Target="http://www.education.vic.gov.au/about/programs/Pages/headstart.aspx" TargetMode="External"/><Relationship Id="rId160" Type="http://schemas.openxmlformats.org/officeDocument/2006/relationships/hyperlink" Target="https://www.eduweb.vic.gov.au/SRP/reports/report.aspx?id=22" TargetMode="External"/><Relationship Id="rId22" Type="http://schemas.openxmlformats.org/officeDocument/2006/relationships/hyperlink" Target="https://edugate.eduweb.vic.gov.au/Services/Finance/Pages/SFO.aspx" TargetMode="External"/><Relationship Id="rId43" Type="http://schemas.openxmlformats.org/officeDocument/2006/relationships/hyperlink" Target="mailto:business@redenergy.com.au" TargetMode="External"/><Relationship Id="rId64" Type="http://schemas.openxmlformats.org/officeDocument/2006/relationships/hyperlink" Target="https://www2.education.vic.gov.au/pal/student-resource-package-srp-school-specific-programs/guidance/p-12-complexity-allowance" TargetMode="External"/><Relationship Id="rId118" Type="http://schemas.openxmlformats.org/officeDocument/2006/relationships/hyperlink" Target="https://www2.education.vic.gov.au/pal/student-resource-package-srp-managing-budget/guidance/7-cash" TargetMode="External"/><Relationship Id="rId139" Type="http://schemas.openxmlformats.org/officeDocument/2006/relationships/hyperlink" Target="https://www2.education.vic.gov.au/pal/student-resource-package-srp-managing-budget/guidance/4-reports" TargetMode="External"/><Relationship Id="rId85" Type="http://schemas.openxmlformats.org/officeDocument/2006/relationships/hyperlink" Target="https://www2.education.vic.gov.au/pal/student-resource-package-srp-targeted-initiatives/guidance/doctors-secondary-schools-school" TargetMode="External"/><Relationship Id="rId150" Type="http://schemas.openxmlformats.org/officeDocument/2006/relationships/hyperlink" Target="mailto:studentresourcepackage@edumail.vic.gov.au" TargetMode="External"/><Relationship Id="rId171" Type="http://schemas.openxmlformats.org/officeDocument/2006/relationships/hyperlink" Target="https://www2.education.vic.gov.au/pal/student-resource-package-srp-managing-budget/guidance/servicegateway.eduweb.vic.gov.au" TargetMode="External"/><Relationship Id="rId12" Type="http://schemas.openxmlformats.org/officeDocument/2006/relationships/hyperlink" Target="https://www.education.vic.gov.au/PAL/srp-2021-rurality-rates.xlsx" TargetMode="External"/><Relationship Id="rId33" Type="http://schemas.openxmlformats.org/officeDocument/2006/relationships/hyperlink" Target="https://www2.education.vic.gov.au/pal/student-resource-package-srp-equity-funding-student-based-funding/guidance/10-eal-contingency" TargetMode="External"/><Relationship Id="rId108" Type="http://schemas.openxmlformats.org/officeDocument/2006/relationships/hyperlink" Target="https://www.education.vic.gov.au/school/teachers/teachingresources/discipline/english/Pages/litnumstrategy.aspx" TargetMode="External"/><Relationship Id="rId129" Type="http://schemas.openxmlformats.org/officeDocument/2006/relationships/hyperlink" Target="https://www2.education.vic.gov.au/pal/transfer-and-promotion-teaching-service/overview" TargetMode="External"/><Relationship Id="rId54" Type="http://schemas.openxmlformats.org/officeDocument/2006/relationships/hyperlink" Target="tel:96280301" TargetMode="External"/><Relationship Id="rId75" Type="http://schemas.openxmlformats.org/officeDocument/2006/relationships/hyperlink" Target="https://www2.education.vic.gov.au/pal/career-structure-teaching-service" TargetMode="External"/><Relationship Id="rId96" Type="http://schemas.openxmlformats.org/officeDocument/2006/relationships/hyperlink" Target="https://www2.education.vic.gov.au/pal/parent-payment" TargetMode="External"/><Relationship Id="rId140" Type="http://schemas.openxmlformats.org/officeDocument/2006/relationships/hyperlink" Target="https://www2.education.vic.gov.au/pal/student-resource-package-srp-managing-budget/guidance/4-reports" TargetMode="External"/><Relationship Id="rId161" Type="http://schemas.openxmlformats.org/officeDocument/2006/relationships/hyperlink" Target="https://www.eduweb.vic.gov.au/SRP/reports/default.aspx?DisplayContext=1" TargetMode="External"/><Relationship Id="rId6" Type="http://schemas.openxmlformats.org/officeDocument/2006/relationships/styles" Target="styles.xml"/><Relationship Id="rId23" Type="http://schemas.openxmlformats.org/officeDocument/2006/relationships/hyperlink" Target="https://www.education.vic.gov.au/school/teachers/learningneeds/Pages/student-support-groups.aspx" TargetMode="External"/><Relationship Id="rId28" Type="http://schemas.openxmlformats.org/officeDocument/2006/relationships/hyperlink" Target="http://www.education.vic.gov.au/school/teachers/management/finance/Pages/swdsystems.aspx" TargetMode="External"/><Relationship Id="rId49" Type="http://schemas.openxmlformats.org/officeDocument/2006/relationships/hyperlink" Target="https://www.eduweb.vic.gov.au/SRP/reports/default.aspx?DisplayContext=1" TargetMode="External"/><Relationship Id="rId114" Type="http://schemas.openxmlformats.org/officeDocument/2006/relationships/hyperlink" Target="https://www2.education.vic.gov.au/pal/student-resource-package-srp-managing-budget/guidance/3-surplus-or-deficit" TargetMode="External"/><Relationship Id="rId119" Type="http://schemas.openxmlformats.org/officeDocument/2006/relationships/hyperlink" Target="https://www2.education.vic.gov.au/pal/student-resource-package-srp-managing-budget/guidance/8-deficit-management-and-workforce" TargetMode="External"/><Relationship Id="rId44" Type="http://schemas.openxmlformats.org/officeDocument/2006/relationships/hyperlink" Target="tel:1300322067" TargetMode="External"/><Relationship Id="rId60" Type="http://schemas.openxmlformats.org/officeDocument/2006/relationships/hyperlink" Target="mailto:essential.safety.measures@edumail.vic.gov.au" TargetMode="External"/><Relationship Id="rId65" Type="http://schemas.openxmlformats.org/officeDocument/2006/relationships/hyperlink" Target="https://www2.education.vic.gov.au/pal/student-resource-package-srp-school-specific-programs/guidance/location-index-funding-reference" TargetMode="External"/><Relationship Id="rId81" Type="http://schemas.openxmlformats.org/officeDocument/2006/relationships/hyperlink" Target="https://www2.education.vic.gov.au/pal/student-resource-package-srp-targeted-initiatives/guidance" TargetMode="External"/><Relationship Id="rId86" Type="http://schemas.openxmlformats.org/officeDocument/2006/relationships/hyperlink" Target="https://www2.education.vic.gov.au/pal/student-resource-package-srp-targeted-initiatives/guidance/head-start-reference-116" TargetMode="External"/><Relationship Id="rId130" Type="http://schemas.openxmlformats.org/officeDocument/2006/relationships/hyperlink" Target="https://www2.education.vic.gov.au/pal/student-resource-package-srp-managing-budget/guidance/2-relief-staffing" TargetMode="External"/><Relationship Id="rId135" Type="http://schemas.openxmlformats.org/officeDocument/2006/relationships/hyperlink" Target="https://www2.education.vic.gov.au/pal/travel-and-personal-expenses-teaching-service" TargetMode="External"/><Relationship Id="rId151" Type="http://schemas.openxmlformats.org/officeDocument/2006/relationships/hyperlink" Target="tel:1800641943" TargetMode="External"/><Relationship Id="rId156" Type="http://schemas.openxmlformats.org/officeDocument/2006/relationships/hyperlink" Target="https://www2.education.vic.gov.au/pal/student-resource-package-srp-managing-budget/guidance/4-reports" TargetMode="External"/><Relationship Id="rId177" Type="http://schemas.openxmlformats.org/officeDocument/2006/relationships/hyperlink" Target="https://www2.education.vic.gov.au/pal/career-structure-teaching-service/policy-and-guidelines" TargetMode="External"/><Relationship Id="rId172" Type="http://schemas.openxmlformats.org/officeDocument/2006/relationships/hyperlink" Target="tel:031800641943" TargetMode="External"/><Relationship Id="rId13" Type="http://schemas.openxmlformats.org/officeDocument/2006/relationships/hyperlink" Target="https://www.abs.gov.au/AUSSTATS/abs@.nsf/Latestproducts/1270.0.55.005Main%20Features15July%202016" TargetMode="External"/><Relationship Id="rId18" Type="http://schemas.openxmlformats.org/officeDocument/2006/relationships/hyperlink" Target="https://www2.education.vic.gov.au/pal/fiso" TargetMode="External"/><Relationship Id="rId39" Type="http://schemas.openxmlformats.org/officeDocument/2006/relationships/hyperlink" Target="tel:1800896950" TargetMode="External"/><Relationship Id="rId109" Type="http://schemas.openxmlformats.org/officeDocument/2006/relationships/hyperlink" Target="https://edugate.eduweb.vic.gov.au/sites/i/Pages/production.aspx" TargetMode="External"/><Relationship Id="rId34" Type="http://schemas.openxmlformats.org/officeDocument/2006/relationships/hyperlink" Target="mailto:eal@education.vic.gov.au" TargetMode="External"/><Relationship Id="rId50" Type="http://schemas.openxmlformats.org/officeDocument/2006/relationships/hyperlink" Target="mailto:" TargetMode="External"/><Relationship Id="rId55" Type="http://schemas.openxmlformats.org/officeDocument/2006/relationships/hyperlink" Target="https://www2.education.vic.gov.au/pal/buildings-grounds-maintenance" TargetMode="External"/><Relationship Id="rId76" Type="http://schemas.openxmlformats.org/officeDocument/2006/relationships/hyperlink" Target="https://itt.abs.gov.au/itt/r.jsp?ABSMaps" TargetMode="External"/><Relationship Id="rId97" Type="http://schemas.openxmlformats.org/officeDocument/2006/relationships/hyperlink" Target="https://www2.education.vic.gov.au/pal/purchasing-secondary-courses" TargetMode="External"/><Relationship Id="rId104" Type="http://schemas.openxmlformats.org/officeDocument/2006/relationships/hyperlink" Target="mailto:doctors.in.schools@edumail.vic.gov.a" TargetMode="External"/><Relationship Id="rId120" Type="http://schemas.openxmlformats.org/officeDocument/2006/relationships/hyperlink" Target="https://www2.education.vic.gov.au/pal/student-resource-package-srp-managing-budget/guidance/10-principal-classification-budget" TargetMode="External"/><Relationship Id="rId125" Type="http://schemas.openxmlformats.org/officeDocument/2006/relationships/hyperlink" Target="https://www2.education.vic.gov.au/pal/cessation-employment-teaching-service" TargetMode="External"/><Relationship Id="rId141" Type="http://schemas.openxmlformats.org/officeDocument/2006/relationships/hyperlink" Target="https://servicegateway.eduweb.vic.gov.au/MSMSelfService/AutoGen.aspx?page=22" TargetMode="External"/><Relationship Id="rId146" Type="http://schemas.openxmlformats.org/officeDocument/2006/relationships/hyperlink" Target="https://www2.education.vic.gov.au/pal/casual-relief-teachers" TargetMode="External"/><Relationship Id="rId167" Type="http://schemas.openxmlformats.org/officeDocument/2006/relationships/hyperlink" Target="https://www.eduweb.vic.gov.au/psdms/Home.aspx" TargetMode="External"/><Relationship Id="rId7" Type="http://schemas.openxmlformats.org/officeDocument/2006/relationships/settings" Target="settings.xml"/><Relationship Id="rId71" Type="http://schemas.openxmlformats.org/officeDocument/2006/relationships/hyperlink" Target="https://www2.education.vic.gov.au/pal/student-resource-package-srp-school-specific-programs/guidance/marc/macc-grant-reference-46" TargetMode="External"/><Relationship Id="rId92" Type="http://schemas.openxmlformats.org/officeDocument/2006/relationships/hyperlink" Target="https://www.education.vic.gov.au/school/teachers/teachingresources/careers/Pages/vet.aspx" TargetMode="External"/><Relationship Id="rId162" Type="http://schemas.openxmlformats.org/officeDocument/2006/relationships/hyperlink" Target="https://www.eduweb.vic.gov.au/srp/login.aspx?returnUrl=%2fSRP%2freports%2freport.aspx%3fid%3d25" TargetMode="External"/><Relationship Id="rId2" Type="http://schemas.openxmlformats.org/officeDocument/2006/relationships/customXml" Target="../customXml/item2.xml"/><Relationship Id="rId29" Type="http://schemas.openxmlformats.org/officeDocument/2006/relationships/hyperlink" Target="http://www.eduweb.vic.gov.au/psdms" TargetMode="External"/><Relationship Id="rId24" Type="http://schemas.openxmlformats.org/officeDocument/2006/relationships/hyperlink" Target="https://psdms.eduweb.vic.gov.au/home/Home.aspx" TargetMode="External"/><Relationship Id="rId40" Type="http://schemas.openxmlformats.org/officeDocument/2006/relationships/hyperlink" Target="https://www2.education.vic.gov.au/pal/student-resource-package-srp-school-infrastructure/guidance/cross-infection-prevention" TargetMode="External"/><Relationship Id="rId45" Type="http://schemas.openxmlformats.org/officeDocument/2006/relationships/hyperlink" Target="mailto:vicgov@agl.com.au" TargetMode="External"/><Relationship Id="rId66" Type="http://schemas.openxmlformats.org/officeDocument/2006/relationships/hyperlink" Target="https://www2.education.vic.gov.au/pal/student-resource-package-srp-school-specific-programs/guidance/marc/macc-teachers-science-and" TargetMode="External"/><Relationship Id="rId87" Type="http://schemas.openxmlformats.org/officeDocument/2006/relationships/hyperlink" Target="https://www2.education.vic.gov.au/pal/student-resource-package-srp-targeted-initiatives/guidance/middle-years-literacy-and-numeracy" TargetMode="External"/><Relationship Id="rId110" Type="http://schemas.openxmlformats.org/officeDocument/2006/relationships/hyperlink" Target="mailto:student.excellence@education.vic.gov.au" TargetMode="External"/><Relationship Id="rId115" Type="http://schemas.openxmlformats.org/officeDocument/2006/relationships/hyperlink" Target="https://www2.education.vic.gov.au/pal/student-resource-package-srp-managing-budget/guidance/4-reports" TargetMode="External"/><Relationship Id="rId131" Type="http://schemas.openxmlformats.org/officeDocument/2006/relationships/hyperlink" Target="https://www.eduweb.vic.gov.au/srp/login.aspx?returnUrl=/srp/SalaryMischargeAmendment/default.aspx" TargetMode="External"/><Relationship Id="rId136" Type="http://schemas.openxmlformats.org/officeDocument/2006/relationships/hyperlink" Target="https://www2.education.vic.gov.au/pal/student-resource-package-srp-managing-budget/guidance/4-reports" TargetMode="External"/><Relationship Id="rId157" Type="http://schemas.openxmlformats.org/officeDocument/2006/relationships/hyperlink" Target="https://www2.education.vic.gov.au/pal/student-resource-package-srp-managing-budget/guidance/4-reports" TargetMode="External"/><Relationship Id="rId178" Type="http://schemas.openxmlformats.org/officeDocument/2006/relationships/footer" Target="footer1.xml"/><Relationship Id="rId61" Type="http://schemas.openxmlformats.org/officeDocument/2006/relationships/hyperlink" Target="https://www.eduweb.vic.gov.au/SRP/reports/" TargetMode="External"/><Relationship Id="rId82" Type="http://schemas.openxmlformats.org/officeDocument/2006/relationships/hyperlink" Target="https://www2.education.vic.gov.au/pal/student-resource-package-srp-targeted-initiatives/guidance/primary-welfare-reference-50" TargetMode="External"/><Relationship Id="rId152" Type="http://schemas.openxmlformats.org/officeDocument/2006/relationships/hyperlink" Target="https://www2.education.vic.gov.au/pal/salary-rates" TargetMode="External"/><Relationship Id="rId173" Type="http://schemas.openxmlformats.org/officeDocument/2006/relationships/hyperlink" Target="https://www2.education.vic.gov.au/pal/student-resource-package-srp-managing-budget/guidance/servicegateway.eduweb.vic.gov.au" TargetMode="External"/><Relationship Id="rId19" Type="http://schemas.openxmlformats.org/officeDocument/2006/relationships/hyperlink" Target="https://www2.education.vic.gov.au/pal/student-support-groups" TargetMode="External"/><Relationship Id="rId14" Type="http://schemas.openxmlformats.org/officeDocument/2006/relationships/hyperlink" Target="https://www.abs.gov.au/ausstats/abs@.nsf/Latestproducts/05773C1D8C9F2022CA257A98001399F7?opendocument" TargetMode="External"/><Relationship Id="rId30" Type="http://schemas.openxmlformats.org/officeDocument/2006/relationships/hyperlink" Target="https://servicegateway.eduweb.vic.gov.au/MSMSelfService/" TargetMode="External"/><Relationship Id="rId35" Type="http://schemas.openxmlformats.org/officeDocument/2006/relationships/hyperlink" Target="mailto:eal@education.vic.gov.au" TargetMode="External"/><Relationship Id="rId56" Type="http://schemas.openxmlformats.org/officeDocument/2006/relationships/hyperlink" Target="mailto:vsba.asset.management@edumail.vic.gov.au" TargetMode="External"/><Relationship Id="rId77" Type="http://schemas.openxmlformats.org/officeDocument/2006/relationships/hyperlink" Target="https://www.abs.gov.au/ausstats/abs@.nsf/Latestproducts/05773C1D8C9F2022CA257A98001399F7?opendocument" TargetMode="External"/><Relationship Id="rId100" Type="http://schemas.openxmlformats.org/officeDocument/2006/relationships/hyperlink" Target="mailto:vass.support@edumail.vic.gov.au" TargetMode="External"/><Relationship Id="rId105" Type="http://schemas.openxmlformats.org/officeDocument/2006/relationships/hyperlink" Target="https://www.education.vic.gov.au/about/programs/Pages/headstart.aspx" TargetMode="External"/><Relationship Id="rId126" Type="http://schemas.openxmlformats.org/officeDocument/2006/relationships/hyperlink" Target="https://www2.education.vic.gov.au/pal/recruitment-schools" TargetMode="External"/><Relationship Id="rId147" Type="http://schemas.openxmlformats.org/officeDocument/2006/relationships/hyperlink" Target="https://www2.education.vic.gov.au/pal/student-resource-package-srp-managing-budget/guidance/4-reports" TargetMode="External"/><Relationship Id="rId168" Type="http://schemas.openxmlformats.org/officeDocument/2006/relationships/hyperlink" Target="https://services.educationapps.vic.gov.au/dp" TargetMode="External"/><Relationship Id="rId8" Type="http://schemas.openxmlformats.org/officeDocument/2006/relationships/webSettings" Target="webSettings.xml"/><Relationship Id="rId51" Type="http://schemas.openxmlformats.org/officeDocument/2006/relationships/hyperlink" Target="mailto:%20Brett.Duff@education.vic.gov.au" TargetMode="External"/><Relationship Id="rId72" Type="http://schemas.openxmlformats.org/officeDocument/2006/relationships/hyperlink" Target="https://www2.education.vic.gov.au/pal/student-resource-package-srp-school-specific-programs/guidance/alternative-settings-teachers" TargetMode="External"/><Relationship Id="rId93" Type="http://schemas.openxmlformats.org/officeDocument/2006/relationships/hyperlink" Target="https://nginx-php-content-policy-det-vic-gov-au-production.lagoon.vicsdp.amazee.io/sites/default/files/2020-06/2020-revised-tafe-supplement-rates.xlsx" TargetMode="External"/><Relationship Id="rId98" Type="http://schemas.openxmlformats.org/officeDocument/2006/relationships/hyperlink" Target="tel:0390321758" TargetMode="External"/><Relationship Id="rId121" Type="http://schemas.openxmlformats.org/officeDocument/2006/relationships/hyperlink" Target="http://www.education.vic.gov.au/hrweb/Documents/Staffing_policy-mergerclosure.pdf" TargetMode="External"/><Relationship Id="rId142" Type="http://schemas.openxmlformats.org/officeDocument/2006/relationships/hyperlink" Target="https://servicegateway.eduweb.vic.gov.au/MSMSelfService/AutoGen.aspx?page=22" TargetMode="External"/><Relationship Id="rId163" Type="http://schemas.openxmlformats.org/officeDocument/2006/relationships/hyperlink" Target="https://www.eduweb.vic.gov.au/SRP/reports/default.aspx?DisplayContext=1" TargetMode="External"/><Relationship Id="rId3" Type="http://schemas.openxmlformats.org/officeDocument/2006/relationships/customXml" Target="../customXml/item3.xml"/><Relationship Id="rId25" Type="http://schemas.openxmlformats.org/officeDocument/2006/relationships/hyperlink" Target="https://www.eduweb.vic.gov.au/PSDMS/Home.aspx" TargetMode="External"/><Relationship Id="rId46" Type="http://schemas.openxmlformats.org/officeDocument/2006/relationships/hyperlink" Target="tel:1300793477" TargetMode="External"/><Relationship Id="rId67" Type="http://schemas.openxmlformats.org/officeDocument/2006/relationships/hyperlink" Target="https://www2.education.vic.gov.au/pal/student-resource-package-srp-school-specific-programs/guidance/instrumental-music-programs" TargetMode="External"/><Relationship Id="rId116" Type="http://schemas.openxmlformats.org/officeDocument/2006/relationships/hyperlink" Target="https://www2.education.vic.gov.au/pal/student-resource-package-srp-managing-budget/guidance/5-planning" TargetMode="External"/><Relationship Id="rId137" Type="http://schemas.openxmlformats.org/officeDocument/2006/relationships/hyperlink" Target="https://www.eduweb.vic.gov.au/srp/" TargetMode="External"/><Relationship Id="rId158" Type="http://schemas.openxmlformats.org/officeDocument/2006/relationships/hyperlink" Target="https://www.eduweb.vic.gov.au/srp/login.aspx?returnUrl=%2fSRP%2fplanner%2fdefault.aspx" TargetMode="External"/><Relationship Id="rId20" Type="http://schemas.openxmlformats.org/officeDocument/2006/relationships/hyperlink" Target="https://www2.education.vic.gov.au/pal/students-disability/policy" TargetMode="External"/><Relationship Id="rId41" Type="http://schemas.openxmlformats.org/officeDocument/2006/relationships/hyperlink" Target="https://www2.education.vic.gov.au/pal/buildings-grounds-maintenance" TargetMode="External"/><Relationship Id="rId62" Type="http://schemas.openxmlformats.org/officeDocument/2006/relationships/hyperlink" Target="mailto:workers.compensation.advisory@edumail.vic.gov.au" TargetMode="External"/><Relationship Id="rId83" Type="http://schemas.openxmlformats.org/officeDocument/2006/relationships/hyperlink" Target="https://www2.education.vic.gov.au/pal/student-resource-package-srp-targeted-initiatives/guidance/career-education-funding-reference" TargetMode="External"/><Relationship Id="rId88" Type="http://schemas.openxmlformats.org/officeDocument/2006/relationships/hyperlink" Target="https://www2.education.vic.gov.au/pal/student-resource-package-srp-targeted-initiatives/guidance/student-excellence-program" TargetMode="External"/><Relationship Id="rId111" Type="http://schemas.openxmlformats.org/officeDocument/2006/relationships/hyperlink" Target="mailto:rural.regional.reform@education.vic.gov.au" TargetMode="External"/><Relationship Id="rId132" Type="http://schemas.openxmlformats.org/officeDocument/2006/relationships/hyperlink" Target="https://www2.education.vic.gov.au/pal/student-resource-package-srp-managing-budget/guidance/4-reports" TargetMode="External"/><Relationship Id="rId153" Type="http://schemas.openxmlformats.org/officeDocument/2006/relationships/hyperlink" Target="https://www.education.vic.gov.au/Documents/school/teachers/management/finance/srp-leave-portal-user-guide.pdf" TargetMode="External"/><Relationship Id="rId174" Type="http://schemas.openxmlformats.org/officeDocument/2006/relationships/hyperlink" Target="https://www.eduweb.vic.gov.au/srp/login.aspx?returnUrl=/srp/SalaryMischargeAmendment/default.aspx" TargetMode="External"/><Relationship Id="rId179" Type="http://schemas.openxmlformats.org/officeDocument/2006/relationships/fontTable" Target="fontTable.xml"/><Relationship Id="rId15" Type="http://schemas.openxmlformats.org/officeDocument/2006/relationships/hyperlink" Target="https://itt.abs.gov.au/itt/r.jsp?ABSMaps" TargetMode="External"/><Relationship Id="rId36" Type="http://schemas.openxmlformats.org/officeDocument/2006/relationships/hyperlink" Target="https://www2.education.vic.gov.au/pal/cleaning" TargetMode="External"/><Relationship Id="rId57" Type="http://schemas.openxmlformats.org/officeDocument/2006/relationships/hyperlink" Target="https://www2.education.vic.gov.au/pal/essential-safety-measures/policy" TargetMode="External"/><Relationship Id="rId106" Type="http://schemas.openxmlformats.org/officeDocument/2006/relationships/hyperlink" Target="https://edugate.eduweb.vic.gov.au/edrms/keyprocess/stfg/Pages/default.aspx" TargetMode="External"/><Relationship Id="rId127" Type="http://schemas.openxmlformats.org/officeDocument/2006/relationships/hyperlink" Target="https://www2.education.vic.gov.au/pal/recruitment-schools" TargetMode="External"/><Relationship Id="rId10" Type="http://schemas.openxmlformats.org/officeDocument/2006/relationships/endnotes" Target="endnotes.xml"/><Relationship Id="rId31" Type="http://schemas.openxmlformats.org/officeDocument/2006/relationships/hyperlink" Target="https://www.education.vic.gov.au/school/teachers/learningneeds/Pages/medical-intervention-support.aspx" TargetMode="External"/><Relationship Id="rId52" Type="http://schemas.openxmlformats.org/officeDocument/2006/relationships/hyperlink" Target="https://www.myswep.com.au/" TargetMode="External"/><Relationship Id="rId73" Type="http://schemas.openxmlformats.org/officeDocument/2006/relationships/hyperlink" Target="https://www2.education.vic.gov.au/pal/student-resource-package-srp-school-specific-programs/guidance/ancillary-settings-teachers" TargetMode="External"/><Relationship Id="rId78" Type="http://schemas.openxmlformats.org/officeDocument/2006/relationships/hyperlink" Target="https://itt.abs.gov.au/itt/r.jsp?ABSMaps" TargetMode="External"/><Relationship Id="rId94" Type="http://schemas.openxmlformats.org/officeDocument/2006/relationships/hyperlink" Target="https://www.education.vic.gov.au/school/teachers/teachingresources/careers/work/Pages/apprentice.aspx" TargetMode="External"/><Relationship Id="rId99" Type="http://schemas.openxmlformats.org/officeDocument/2006/relationships/hyperlink" Target="tel:1800623681" TargetMode="External"/><Relationship Id="rId101" Type="http://schemas.openxmlformats.org/officeDocument/2006/relationships/hyperlink" Target="https://www.education.vic.gov.au/about/programs/Pages/doctors.aspx" TargetMode="External"/><Relationship Id="rId122" Type="http://schemas.openxmlformats.org/officeDocument/2006/relationships/hyperlink" Target="https://www2.education.vic.gov.au/pal/student-resource-package-srp-managing-budget/guidance/7-cash" TargetMode="External"/><Relationship Id="rId143" Type="http://schemas.openxmlformats.org/officeDocument/2006/relationships/hyperlink" Target="https://servicegateway.eduweb.vic.gov.au/MSMSelfService/AutoGen.aspx?page=22" TargetMode="External"/><Relationship Id="rId148" Type="http://schemas.openxmlformats.org/officeDocument/2006/relationships/hyperlink" Target="https://www.education.vic.gov.au/Documents/school/teachers/management/finance/2020-excel-calculator.xlsx" TargetMode="External"/><Relationship Id="rId164" Type="http://schemas.openxmlformats.org/officeDocument/2006/relationships/hyperlink" Target="https://www.eduweb.vic.gov.au/SRP/reports/default.aspx?DisplayContext=1" TargetMode="External"/><Relationship Id="rId169" Type="http://schemas.openxmlformats.org/officeDocument/2006/relationships/hyperlink" Target="https://www2.education.vic.gov.au/pal/student-resource-package-srp-school-infrastructure/guidance/contract-cleaning-reference-2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www.education.vic.gov.au/school/teachers/learningneeds/Pages/psdhandbook.aspx" TargetMode="External"/><Relationship Id="rId47" Type="http://schemas.openxmlformats.org/officeDocument/2006/relationships/hyperlink" Target="mailto:vicgovernment@originenergy.com.au" TargetMode="External"/><Relationship Id="rId68" Type="http://schemas.openxmlformats.org/officeDocument/2006/relationships/hyperlink" Target="https://www2.education.vic.gov.au/pal/student-resource-package-srp-school-specific-programs/guidance/language-assistants-reference-42" TargetMode="External"/><Relationship Id="rId89" Type="http://schemas.openxmlformats.org/officeDocument/2006/relationships/hyperlink" Target="https://www2.education.vic.gov.au/pal/student-resource-package-srp-targeted-initiatives/guidance/vce-revision-lectures-reference-121" TargetMode="External"/><Relationship Id="rId112" Type="http://schemas.openxmlformats.org/officeDocument/2006/relationships/hyperlink" Target="https://www2.education.vic.gov.au/pal/student-resource-package-srp-managing-budget/guidance/1-salary-and-related-expenditure" TargetMode="External"/><Relationship Id="rId133" Type="http://schemas.openxmlformats.org/officeDocument/2006/relationships/hyperlink" Target="https://www2.education.vic.gov.au/pal/student-resource-package-srp-managing-budget/guidance/7-cash" TargetMode="External"/><Relationship Id="rId154" Type="http://schemas.openxmlformats.org/officeDocument/2006/relationships/hyperlink" Target="https://www.education.vic.gov.au/Documents/school/teachers/management/finance/srp-leave-portal-user-guide.docx" TargetMode="External"/><Relationship Id="rId175" Type="http://schemas.openxmlformats.org/officeDocument/2006/relationships/hyperlink" Target="https://www2.education.vic.gov.au/pal/school-merger-or-closure" TargetMode="External"/><Relationship Id="rId16" Type="http://schemas.openxmlformats.org/officeDocument/2006/relationships/hyperlink" Target="https://victoriancurriculum.vcaa.vic.edu.au/" TargetMode="External"/><Relationship Id="rId37" Type="http://schemas.openxmlformats.org/officeDocument/2006/relationships/hyperlink" Target="https://www.eduweb.vic.gov.au/SchoolFacilitiesProfile/SFPW3.aspx" TargetMode="External"/><Relationship Id="rId58" Type="http://schemas.openxmlformats.org/officeDocument/2006/relationships/hyperlink" Target="https://nginx-php-content-policy-det-vic-gov-au-production.lagoon.vicsdp.amazee.io/sites/default/files/2020-02/esm-program-framework.docx" TargetMode="External"/><Relationship Id="rId79" Type="http://schemas.openxmlformats.org/officeDocument/2006/relationships/hyperlink" Target="https://www2.education.vic.gov.au/pal/student-resource-package-srp-school-specific-programs/guidance/marc/macc-teachers-science-and" TargetMode="External"/><Relationship Id="rId102" Type="http://schemas.openxmlformats.org/officeDocument/2006/relationships/hyperlink" Target="https://www2.education.vic.gov.au/pal/child-safe-standards" TargetMode="External"/><Relationship Id="rId123" Type="http://schemas.openxmlformats.org/officeDocument/2006/relationships/hyperlink" Target="https://www2.education.vic.gov.au/pal/student-resource-package-srp-managing-budget/guidance/4-reports" TargetMode="External"/><Relationship Id="rId144" Type="http://schemas.openxmlformats.org/officeDocument/2006/relationships/hyperlink" Target="https://www2.education.vic.gov.au/pal/leave-defence-reserve-service" TargetMode="External"/><Relationship Id="rId90" Type="http://schemas.openxmlformats.org/officeDocument/2006/relationships/hyperlink" Target="https://www2.education.vic.gov.au/pal/student-resource-package-srp-targeted-initiatives/guidance/professional-learning-communities" TargetMode="External"/><Relationship Id="rId165" Type="http://schemas.openxmlformats.org/officeDocument/2006/relationships/hyperlink" Target="https://www.education.vic.gov.au/Documents/school/teachers/management/finance/planner-srp-budget-tool.pptx" TargetMode="External"/><Relationship Id="rId27" Type="http://schemas.openxmlformats.org/officeDocument/2006/relationships/hyperlink" Target="https://www.education.vic.gov.au/school/teachers/learningneeds/Pages/student-support-groups.aspx" TargetMode="External"/><Relationship Id="rId48" Type="http://schemas.openxmlformats.org/officeDocument/2006/relationships/hyperlink" Target="tel:1800319299" TargetMode="External"/><Relationship Id="rId69" Type="http://schemas.openxmlformats.org/officeDocument/2006/relationships/hyperlink" Target="https://www2.education.vic.gov.au/pal/student-resource-package-srp-school-specific-programs/guidance/bus-coordination-reference-43" TargetMode="External"/><Relationship Id="rId113" Type="http://schemas.openxmlformats.org/officeDocument/2006/relationships/hyperlink" Target="https://www2.education.vic.gov.au/pal/student-resource-package-srp-managing-budget/guidance/2-relief-staffing" TargetMode="External"/><Relationship Id="rId134" Type="http://schemas.openxmlformats.org/officeDocument/2006/relationships/hyperlink" Target="https://www2.education.vic.gov.au/pal/student-resource-package-srp-managing-budget/guidance/4-reports" TargetMode="External"/><Relationship Id="rId80" Type="http://schemas.openxmlformats.org/officeDocument/2006/relationships/hyperlink" Target="https://www2.education.vic.gov.au/pal/re-engagement-programs/policy" TargetMode="External"/><Relationship Id="rId155" Type="http://schemas.openxmlformats.org/officeDocument/2006/relationships/hyperlink" Target="https://www.education.vic.gov.au/Documents/school/teachers/management/finance/leave-replacement-sample.xls" TargetMode="External"/><Relationship Id="rId176" Type="http://schemas.openxmlformats.org/officeDocument/2006/relationships/hyperlink" Target="https://www.eduweb.vic.gov.au/srp/login.aspx?returnUrl=%2fSRP%2fplanner%2fdefault.aspx" TargetMode="External"/><Relationship Id="rId17" Type="http://schemas.openxmlformats.org/officeDocument/2006/relationships/hyperlink" Target="https://www.vit.vic.edu.au/registered-teacher/special-needs-plan" TargetMode="External"/><Relationship Id="rId38" Type="http://schemas.openxmlformats.org/officeDocument/2006/relationships/hyperlink" Target="https://www.education.vic.gov.au/Documents/school/principals/finance/ref28contclean.xls" TargetMode="External"/><Relationship Id="rId59" Type="http://schemas.openxmlformats.org/officeDocument/2006/relationships/hyperlink" Target="https://www2.education.vic.gov.au/node/495" TargetMode="External"/><Relationship Id="rId103" Type="http://schemas.openxmlformats.org/officeDocument/2006/relationships/hyperlink" Target="https://www.education.vic.gov.au/about/programs/Pages/doctors.aspx" TargetMode="External"/><Relationship Id="rId124" Type="http://schemas.openxmlformats.org/officeDocument/2006/relationships/hyperlink" Target="https://www2.education.vic.gov.au/pal/recruitment-schools" TargetMode="External"/><Relationship Id="rId70" Type="http://schemas.openxmlformats.org/officeDocument/2006/relationships/hyperlink" Target="https://www2.education.vic.gov.au/pal/student-resource-package-srp-school-specific-programs/guidance/country-area-program-grant" TargetMode="External"/><Relationship Id="rId91" Type="http://schemas.openxmlformats.org/officeDocument/2006/relationships/hyperlink" Target="https://www2.education.vic.gov.au/pal/student-engagement" TargetMode="External"/><Relationship Id="rId145" Type="http://schemas.openxmlformats.org/officeDocument/2006/relationships/hyperlink" Target="https://www2.education.vic.gov.au/pal/recruitment-schools" TargetMode="External"/><Relationship Id="rId166" Type="http://schemas.openxmlformats.org/officeDocument/2006/relationships/hyperlink" Target="https://www2.education.vic.gov.au/pal/student-resource-package-srp-equity-funding-student-based-funding/guidance/4-program-student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350</Topic>
    <Expired xmlns="bb5ce4db-eb21-467d-b968-528655912a38">false</Expi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32AD5-3B3D-4FDD-AFA8-90DE724F1400}">
  <ds:schemaRefs>
    <ds:schemaRef ds:uri="http://schemas.openxmlformats.org/officeDocument/2006/bibliography"/>
  </ds:schemaRefs>
</ds:datastoreItem>
</file>

<file path=customXml/itemProps2.xml><?xml version="1.0" encoding="utf-8"?>
<ds:datastoreItem xmlns:ds="http://schemas.openxmlformats.org/officeDocument/2006/customXml" ds:itemID="{5D056768-D78B-478C-ADB4-528A89FC6D9B}">
  <ds:schemaRefs>
    <ds:schemaRef ds:uri="http://schemas.microsoft.com/sharepoint/v3/contenttype/forms"/>
  </ds:schemaRefs>
</ds:datastoreItem>
</file>

<file path=customXml/itemProps3.xml><?xml version="1.0" encoding="utf-8"?>
<ds:datastoreItem xmlns:ds="http://schemas.openxmlformats.org/officeDocument/2006/customXml" ds:itemID="{6A729755-2C27-4EEC-9647-B35F7EA68EF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03877336-9646-47EA-8CB7-B0A923FADF20}"/>
</file>

<file path=docProps/app.xml><?xml version="1.0" encoding="utf-8"?>
<Properties xmlns="http://schemas.openxmlformats.org/officeDocument/2006/extended-properties" xmlns:vt="http://schemas.openxmlformats.org/officeDocument/2006/docPropsVTypes">
  <Template>Normal.dotm</Template>
  <TotalTime>2469</TotalTime>
  <Pages>164</Pages>
  <Words>33004</Words>
  <Characters>188128</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Abayasinghe, Timandra T</dc:creator>
  <cp:keywords/>
  <dc:description/>
  <cp:lastModifiedBy>Leigh Dennis</cp:lastModifiedBy>
  <cp:revision>9</cp:revision>
  <cp:lastPrinted>2020-10-05T02:17:00Z</cp:lastPrinted>
  <dcterms:created xsi:type="dcterms:W3CDTF">2020-12-01T00:19:00Z</dcterms:created>
  <dcterms:modified xsi:type="dcterms:W3CDTF">2021-02-23T01:24:00Z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