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C2" w:rsidRPr="00DA0CEA" w:rsidRDefault="009F02C2" w:rsidP="009F02C2">
      <w:pPr>
        <w:rPr>
          <w:rFonts w:ascii="Arial" w:hAnsi="Arial" w:cs="Arial"/>
          <w:b/>
        </w:rPr>
      </w:pPr>
      <w:r w:rsidRPr="00DA0CEA">
        <w:rPr>
          <w:rFonts w:ascii="Arial" w:hAnsi="Arial" w:cs="Arial"/>
          <w:b/>
        </w:rPr>
        <w:t xml:space="preserve">TAFE institutes – </w:t>
      </w:r>
      <w:r>
        <w:rPr>
          <w:rFonts w:ascii="Arial" w:hAnsi="Arial" w:cs="Arial"/>
          <w:b/>
        </w:rPr>
        <w:t>201</w:t>
      </w:r>
      <w:r w:rsidR="003254A6">
        <w:rPr>
          <w:rFonts w:ascii="Arial" w:hAnsi="Arial" w:cs="Arial"/>
          <w:b/>
        </w:rPr>
        <w:t>6</w:t>
      </w:r>
      <w:r w:rsidR="004A410C">
        <w:rPr>
          <w:rFonts w:ascii="Arial" w:hAnsi="Arial" w:cs="Arial"/>
          <w:b/>
        </w:rPr>
        <w:t>/1</w:t>
      </w:r>
      <w:r w:rsidR="003254A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Pr="00DA0CEA">
        <w:rPr>
          <w:rFonts w:ascii="Arial" w:hAnsi="Arial" w:cs="Arial"/>
          <w:b/>
        </w:rPr>
        <w:t>Total Remuneration Package</w:t>
      </w:r>
      <w:r w:rsidRPr="00242D0B">
        <w:rPr>
          <w:rFonts w:ascii="Arial" w:hAnsi="Arial" w:cs="Arial"/>
          <w:b/>
        </w:rPr>
        <w:t xml:space="preserve"> Circular</w:t>
      </w:r>
    </w:p>
    <w:p w:rsidR="009F02C2" w:rsidRPr="005F5DE9" w:rsidRDefault="009F02C2" w:rsidP="009F02C2">
      <w:pPr>
        <w:rPr>
          <w:rFonts w:ascii="Arial" w:hAnsi="Arial" w:cs="Arial"/>
        </w:rPr>
      </w:pPr>
    </w:p>
    <w:p w:rsidR="004A410C" w:rsidRPr="005F5DE9" w:rsidRDefault="004A410C" w:rsidP="004A410C">
      <w:pPr>
        <w:jc w:val="both"/>
        <w:rPr>
          <w:rFonts w:ascii="Arial" w:hAnsi="Arial" w:cs="Arial"/>
        </w:rPr>
      </w:pPr>
      <w:r w:rsidRPr="005F5DE9">
        <w:rPr>
          <w:rFonts w:ascii="Arial" w:hAnsi="Arial" w:cs="Arial"/>
        </w:rPr>
        <w:t xml:space="preserve">The Premier has approved an annual adjustment guideline </w:t>
      </w:r>
      <w:r w:rsidR="00D516C1" w:rsidRPr="005F5DE9">
        <w:rPr>
          <w:rFonts w:ascii="Arial" w:hAnsi="Arial" w:cs="Arial"/>
        </w:rPr>
        <w:t xml:space="preserve">remuneration </w:t>
      </w:r>
      <w:r w:rsidRPr="005F5DE9">
        <w:rPr>
          <w:rFonts w:ascii="Arial" w:hAnsi="Arial" w:cs="Arial"/>
        </w:rPr>
        <w:t xml:space="preserve">rate increase for </w:t>
      </w:r>
      <w:r w:rsidR="00D516C1" w:rsidRPr="005F5DE9">
        <w:rPr>
          <w:rFonts w:ascii="Arial" w:hAnsi="Arial" w:cs="Arial"/>
        </w:rPr>
        <w:t>CEOs and E</w:t>
      </w:r>
      <w:r w:rsidRPr="005F5DE9">
        <w:rPr>
          <w:rFonts w:ascii="Arial" w:hAnsi="Arial" w:cs="Arial"/>
        </w:rPr>
        <w:t>xecutive</w:t>
      </w:r>
      <w:r w:rsidR="00D516C1" w:rsidRPr="005F5DE9">
        <w:rPr>
          <w:rFonts w:ascii="Arial" w:hAnsi="Arial" w:cs="Arial"/>
        </w:rPr>
        <w:t>s</w:t>
      </w:r>
      <w:r w:rsidRPr="005F5DE9">
        <w:rPr>
          <w:rFonts w:ascii="Arial" w:hAnsi="Arial" w:cs="Arial"/>
        </w:rPr>
        <w:t xml:space="preserve"> </w:t>
      </w:r>
      <w:r w:rsidR="00D516C1" w:rsidRPr="005F5DE9">
        <w:rPr>
          <w:rFonts w:ascii="Arial" w:hAnsi="Arial" w:cs="Arial"/>
        </w:rPr>
        <w:t xml:space="preserve">by </w:t>
      </w:r>
      <w:r w:rsidRPr="005F5DE9">
        <w:rPr>
          <w:rFonts w:ascii="Arial" w:hAnsi="Arial" w:cs="Arial"/>
        </w:rPr>
        <w:t xml:space="preserve">2.5% for </w:t>
      </w:r>
      <w:r w:rsidR="00D516C1" w:rsidRPr="005F5DE9">
        <w:rPr>
          <w:rFonts w:ascii="Arial" w:hAnsi="Arial" w:cs="Arial"/>
        </w:rPr>
        <w:t>20</w:t>
      </w:r>
      <w:r w:rsidRPr="005F5DE9">
        <w:rPr>
          <w:rFonts w:ascii="Arial" w:hAnsi="Arial" w:cs="Arial"/>
        </w:rPr>
        <w:t>1</w:t>
      </w:r>
      <w:r w:rsidR="003254A6">
        <w:rPr>
          <w:rFonts w:ascii="Arial" w:hAnsi="Arial" w:cs="Arial"/>
        </w:rPr>
        <w:t>6</w:t>
      </w:r>
      <w:r w:rsidRPr="005F5DE9">
        <w:rPr>
          <w:rFonts w:ascii="Arial" w:hAnsi="Arial" w:cs="Arial"/>
        </w:rPr>
        <w:t>/1</w:t>
      </w:r>
      <w:r w:rsidR="003254A6">
        <w:rPr>
          <w:rFonts w:ascii="Arial" w:hAnsi="Arial" w:cs="Arial"/>
        </w:rPr>
        <w:t>7</w:t>
      </w:r>
      <w:r w:rsidRPr="005F5DE9">
        <w:rPr>
          <w:rFonts w:ascii="Arial" w:hAnsi="Arial" w:cs="Arial"/>
        </w:rPr>
        <w:t>, applicable from 1 July 201</w:t>
      </w:r>
      <w:r w:rsidR="003254A6">
        <w:rPr>
          <w:rFonts w:ascii="Arial" w:hAnsi="Arial" w:cs="Arial"/>
        </w:rPr>
        <w:t>6</w:t>
      </w:r>
      <w:r w:rsidRPr="005F5DE9">
        <w:rPr>
          <w:rFonts w:ascii="Arial" w:hAnsi="Arial" w:cs="Arial"/>
        </w:rPr>
        <w:t>.</w:t>
      </w:r>
    </w:p>
    <w:p w:rsidR="004A410C" w:rsidRPr="004A410C" w:rsidRDefault="004A410C" w:rsidP="004A410C">
      <w:pPr>
        <w:jc w:val="both"/>
        <w:rPr>
          <w:rFonts w:ascii="Arial" w:hAnsi="Arial" w:cs="Arial"/>
        </w:rPr>
      </w:pPr>
    </w:p>
    <w:p w:rsidR="004A410C" w:rsidRDefault="00D516C1" w:rsidP="009F0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14C1D">
        <w:rPr>
          <w:rFonts w:ascii="Arial" w:hAnsi="Arial" w:cs="Arial"/>
        </w:rPr>
        <w:t xml:space="preserve"> table below represents the 201</w:t>
      </w:r>
      <w:r w:rsidR="003254A6">
        <w:rPr>
          <w:rFonts w:ascii="Arial" w:hAnsi="Arial" w:cs="Arial"/>
        </w:rPr>
        <w:t>5/16</w:t>
      </w:r>
      <w:r w:rsidR="00814C1D">
        <w:rPr>
          <w:rFonts w:ascii="Arial" w:hAnsi="Arial" w:cs="Arial"/>
        </w:rPr>
        <w:t xml:space="preserve"> and 201</w:t>
      </w:r>
      <w:r w:rsidR="003254A6">
        <w:rPr>
          <w:rFonts w:ascii="Arial" w:hAnsi="Arial" w:cs="Arial"/>
        </w:rPr>
        <w:t>6</w:t>
      </w:r>
      <w:r w:rsidR="00814C1D">
        <w:rPr>
          <w:rFonts w:ascii="Arial" w:hAnsi="Arial" w:cs="Arial"/>
        </w:rPr>
        <w:t>/1</w:t>
      </w:r>
      <w:r w:rsidR="003254A6">
        <w:rPr>
          <w:rFonts w:ascii="Arial" w:hAnsi="Arial" w:cs="Arial"/>
        </w:rPr>
        <w:t>7</w:t>
      </w:r>
      <w:r w:rsidR="00814C1D">
        <w:rPr>
          <w:rFonts w:ascii="Arial" w:hAnsi="Arial" w:cs="Arial"/>
        </w:rPr>
        <w:t xml:space="preserve"> ranges for remuneration package for TAFE institutes:</w:t>
      </w:r>
    </w:p>
    <w:p w:rsidR="00814C1D" w:rsidRPr="00DA0CEA" w:rsidRDefault="00814C1D" w:rsidP="00814C1D">
      <w:pPr>
        <w:rPr>
          <w:rFonts w:ascii="Arial" w:hAnsi="Arial" w:cs="Arial"/>
        </w:rPr>
      </w:pPr>
    </w:p>
    <w:tbl>
      <w:tblPr>
        <w:tblStyle w:val="TableGrid"/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985"/>
        <w:gridCol w:w="1559"/>
        <w:gridCol w:w="1276"/>
        <w:gridCol w:w="1228"/>
        <w:gridCol w:w="1182"/>
      </w:tblGrid>
      <w:tr w:rsidR="00814C1D" w:rsidRPr="00DA0CEA" w:rsidTr="00814C1D">
        <w:tc>
          <w:tcPr>
            <w:tcW w:w="1701" w:type="dxa"/>
            <w:shd w:val="clear" w:color="auto" w:fill="17365D" w:themeFill="text2" w:themeFillShade="BF"/>
          </w:tcPr>
          <w:p w:rsidR="00814C1D" w:rsidRPr="00DA0CEA" w:rsidRDefault="00814C1D" w:rsidP="000850F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17365D" w:themeFill="text2" w:themeFillShade="BF"/>
          </w:tcPr>
          <w:p w:rsidR="00814C1D" w:rsidRPr="00DA0CEA" w:rsidRDefault="00814C1D" w:rsidP="000850FF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0CEA">
              <w:rPr>
                <w:rFonts w:ascii="Arial" w:hAnsi="Arial" w:cs="Arial"/>
                <w:b/>
                <w:sz w:val="22"/>
                <w:szCs w:val="22"/>
              </w:rPr>
              <w:t>TAFE institute Annual Income (less capital) range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814C1D" w:rsidRPr="00DA0CEA" w:rsidRDefault="00814C1D" w:rsidP="000850FF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0CEA">
              <w:rPr>
                <w:rFonts w:ascii="Arial" w:hAnsi="Arial" w:cs="Arial"/>
                <w:b/>
                <w:sz w:val="22"/>
                <w:szCs w:val="22"/>
              </w:rPr>
              <w:t>Classification Level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:rsidR="00814C1D" w:rsidRPr="00DA0CEA" w:rsidRDefault="00814C1D" w:rsidP="000850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0CEA">
              <w:rPr>
                <w:rFonts w:ascii="Arial" w:hAnsi="Arial" w:cs="Arial"/>
                <w:b/>
                <w:sz w:val="22"/>
                <w:szCs w:val="22"/>
              </w:rPr>
              <w:t>Minimum</w:t>
            </w:r>
          </w:p>
        </w:tc>
        <w:tc>
          <w:tcPr>
            <w:tcW w:w="1228" w:type="dxa"/>
            <w:shd w:val="clear" w:color="auto" w:fill="17365D" w:themeFill="text2" w:themeFillShade="BF"/>
          </w:tcPr>
          <w:p w:rsidR="00814C1D" w:rsidRDefault="00814C1D" w:rsidP="000850FF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0CEA">
              <w:rPr>
                <w:rFonts w:ascii="Arial" w:hAnsi="Arial" w:cs="Arial"/>
                <w:b/>
                <w:sz w:val="22"/>
                <w:szCs w:val="22"/>
              </w:rPr>
              <w:t>Mid-</w:t>
            </w:r>
          </w:p>
          <w:p w:rsidR="00814C1D" w:rsidRPr="00DA0CEA" w:rsidRDefault="00814C1D" w:rsidP="000850FF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0CEA">
              <w:rPr>
                <w:rFonts w:ascii="Arial" w:hAnsi="Arial" w:cs="Arial"/>
                <w:b/>
                <w:sz w:val="22"/>
                <w:szCs w:val="22"/>
              </w:rPr>
              <w:t>Point</w:t>
            </w:r>
          </w:p>
        </w:tc>
        <w:tc>
          <w:tcPr>
            <w:tcW w:w="1182" w:type="dxa"/>
            <w:shd w:val="clear" w:color="auto" w:fill="17365D" w:themeFill="text2" w:themeFillShade="BF"/>
          </w:tcPr>
          <w:p w:rsidR="00814C1D" w:rsidRDefault="00814C1D" w:rsidP="000850FF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0CEA">
              <w:rPr>
                <w:rFonts w:ascii="Arial" w:hAnsi="Arial" w:cs="Arial"/>
                <w:b/>
                <w:sz w:val="22"/>
                <w:szCs w:val="22"/>
              </w:rPr>
              <w:t xml:space="preserve">Higher </w:t>
            </w:r>
          </w:p>
          <w:p w:rsidR="00814C1D" w:rsidRPr="00DA0CEA" w:rsidRDefault="00814C1D" w:rsidP="000850FF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0CEA">
              <w:rPr>
                <w:rFonts w:ascii="Arial" w:hAnsi="Arial" w:cs="Arial"/>
                <w:b/>
                <w:sz w:val="22"/>
                <w:szCs w:val="22"/>
              </w:rPr>
              <w:t>Point</w:t>
            </w:r>
          </w:p>
        </w:tc>
      </w:tr>
      <w:tr w:rsidR="00814C1D" w:rsidRPr="00DA0CEA" w:rsidTr="00814C1D">
        <w:tc>
          <w:tcPr>
            <w:tcW w:w="1701" w:type="dxa"/>
            <w:shd w:val="clear" w:color="auto" w:fill="FFFFFF" w:themeFill="background1"/>
          </w:tcPr>
          <w:p w:rsidR="00814C1D" w:rsidRPr="00814C1D" w:rsidRDefault="00814C1D" w:rsidP="000850F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4C1D">
              <w:rPr>
                <w:rFonts w:ascii="Arial" w:hAnsi="Arial" w:cs="Arial"/>
                <w:b/>
                <w:sz w:val="20"/>
                <w:szCs w:val="22"/>
              </w:rPr>
              <w:t>1 July 201</w:t>
            </w:r>
            <w:r w:rsidR="003254A6">
              <w:rPr>
                <w:rFonts w:ascii="Arial" w:hAnsi="Arial" w:cs="Arial"/>
                <w:b/>
                <w:sz w:val="20"/>
                <w:szCs w:val="22"/>
              </w:rPr>
              <w:t>5</w:t>
            </w:r>
            <w:r w:rsidRPr="00814C1D">
              <w:rPr>
                <w:rFonts w:ascii="Arial" w:hAnsi="Arial" w:cs="Arial"/>
                <w:b/>
                <w:sz w:val="20"/>
                <w:szCs w:val="22"/>
              </w:rPr>
              <w:t xml:space="preserve"> –</w:t>
            </w:r>
          </w:p>
          <w:p w:rsidR="00814C1D" w:rsidRPr="00814C1D" w:rsidRDefault="00814C1D" w:rsidP="003254A6">
            <w:pPr>
              <w:jc w:val="center"/>
              <w:rPr>
                <w:rFonts w:ascii="Arial" w:hAnsi="Arial" w:cs="Arial"/>
                <w:sz w:val="20"/>
              </w:rPr>
            </w:pPr>
            <w:r w:rsidRPr="00814C1D">
              <w:rPr>
                <w:rFonts w:ascii="Arial" w:hAnsi="Arial" w:cs="Arial"/>
                <w:b/>
                <w:sz w:val="20"/>
                <w:szCs w:val="22"/>
              </w:rPr>
              <w:t>30 June 201</w:t>
            </w:r>
            <w:r w:rsidR="003254A6">
              <w:rPr>
                <w:rFonts w:ascii="Arial" w:hAnsi="Arial" w:cs="Arial"/>
                <w:b/>
                <w:sz w:val="20"/>
                <w:szCs w:val="22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14C1D" w:rsidRPr="002A5671" w:rsidRDefault="00814C1D" w:rsidP="000850FF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A5671">
              <w:rPr>
                <w:rFonts w:ascii="Arial" w:hAnsi="Arial" w:cs="Arial"/>
                <w:sz w:val="20"/>
                <w:szCs w:val="22"/>
              </w:rPr>
              <w:t>Greater than</w:t>
            </w:r>
          </w:p>
          <w:p w:rsidR="00814C1D" w:rsidRPr="002A5671" w:rsidRDefault="00814C1D" w:rsidP="002A5671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A5671">
              <w:rPr>
                <w:rFonts w:ascii="Arial" w:hAnsi="Arial" w:cs="Arial"/>
                <w:sz w:val="20"/>
                <w:szCs w:val="22"/>
              </w:rPr>
              <w:t>$</w:t>
            </w:r>
            <w:r w:rsidR="002A5671" w:rsidRPr="002A5671">
              <w:rPr>
                <w:rFonts w:ascii="Arial" w:hAnsi="Arial" w:cs="Arial"/>
                <w:sz w:val="20"/>
                <w:szCs w:val="22"/>
              </w:rPr>
              <w:t>116.0</w:t>
            </w:r>
            <w:r w:rsidRPr="002A5671">
              <w:rPr>
                <w:rFonts w:ascii="Arial" w:hAnsi="Arial" w:cs="Arial"/>
                <w:sz w:val="20"/>
                <w:szCs w:val="22"/>
              </w:rPr>
              <w:t xml:space="preserve"> million</w:t>
            </w:r>
          </w:p>
        </w:tc>
        <w:tc>
          <w:tcPr>
            <w:tcW w:w="1559" w:type="dxa"/>
            <w:shd w:val="clear" w:color="auto" w:fill="FFFFFF" w:themeFill="background1"/>
          </w:tcPr>
          <w:p w:rsidR="00814C1D" w:rsidRPr="00814C1D" w:rsidRDefault="00814C1D" w:rsidP="000850FF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4C1D">
              <w:rPr>
                <w:rFonts w:ascii="Arial" w:hAnsi="Arial" w:cs="Arial"/>
                <w:sz w:val="20"/>
                <w:szCs w:val="22"/>
              </w:rPr>
              <w:t>CEO 1</w:t>
            </w:r>
          </w:p>
        </w:tc>
        <w:tc>
          <w:tcPr>
            <w:tcW w:w="1276" w:type="dxa"/>
            <w:shd w:val="clear" w:color="auto" w:fill="FFFFFF" w:themeFill="background1"/>
          </w:tcPr>
          <w:p w:rsidR="00814C1D" w:rsidRPr="00814C1D" w:rsidRDefault="00814C1D" w:rsidP="003254A6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4C1D">
              <w:rPr>
                <w:rFonts w:ascii="Arial" w:hAnsi="Arial" w:cs="Arial"/>
                <w:sz w:val="20"/>
                <w:szCs w:val="22"/>
              </w:rPr>
              <w:t>$</w:t>
            </w:r>
            <w:r w:rsidR="003254A6">
              <w:rPr>
                <w:rFonts w:ascii="Arial" w:hAnsi="Arial" w:cs="Arial"/>
                <w:sz w:val="20"/>
                <w:szCs w:val="22"/>
              </w:rPr>
              <w:t>256,814</w:t>
            </w:r>
          </w:p>
        </w:tc>
        <w:tc>
          <w:tcPr>
            <w:tcW w:w="1228" w:type="dxa"/>
            <w:shd w:val="clear" w:color="auto" w:fill="FFFFFF" w:themeFill="background1"/>
          </w:tcPr>
          <w:p w:rsidR="00814C1D" w:rsidRPr="00814C1D" w:rsidRDefault="00814C1D" w:rsidP="003254A6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4C1D">
              <w:rPr>
                <w:rFonts w:ascii="Arial" w:hAnsi="Arial" w:cs="Arial"/>
                <w:sz w:val="20"/>
                <w:szCs w:val="22"/>
              </w:rPr>
              <w:t>$</w:t>
            </w:r>
            <w:r w:rsidR="003254A6">
              <w:rPr>
                <w:rFonts w:ascii="Arial" w:hAnsi="Arial" w:cs="Arial"/>
                <w:sz w:val="20"/>
                <w:szCs w:val="22"/>
              </w:rPr>
              <w:t>289,192</w:t>
            </w:r>
          </w:p>
        </w:tc>
        <w:tc>
          <w:tcPr>
            <w:tcW w:w="1182" w:type="dxa"/>
            <w:shd w:val="clear" w:color="auto" w:fill="FFFFFF" w:themeFill="background1"/>
          </w:tcPr>
          <w:p w:rsidR="00814C1D" w:rsidRPr="00814C1D" w:rsidRDefault="00814C1D" w:rsidP="003254A6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4C1D">
              <w:rPr>
                <w:rFonts w:ascii="Arial" w:hAnsi="Arial" w:cs="Arial"/>
                <w:sz w:val="20"/>
                <w:szCs w:val="22"/>
              </w:rPr>
              <w:t>$</w:t>
            </w:r>
            <w:r w:rsidR="003254A6">
              <w:rPr>
                <w:rFonts w:ascii="Arial" w:hAnsi="Arial" w:cs="Arial"/>
                <w:sz w:val="20"/>
                <w:szCs w:val="22"/>
              </w:rPr>
              <w:t>320,390</w:t>
            </w:r>
          </w:p>
        </w:tc>
      </w:tr>
      <w:tr w:rsidR="00814C1D" w:rsidRPr="00DA0CEA" w:rsidTr="00814C1D"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14C1D" w:rsidRPr="00814C1D" w:rsidRDefault="00814C1D" w:rsidP="000850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14C1D" w:rsidRPr="002A5671" w:rsidRDefault="00814C1D" w:rsidP="002A5671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A5671">
              <w:rPr>
                <w:rFonts w:ascii="Arial" w:hAnsi="Arial" w:cs="Arial"/>
                <w:sz w:val="20"/>
                <w:szCs w:val="22"/>
              </w:rPr>
              <w:t>Up to $</w:t>
            </w:r>
            <w:r w:rsidR="002A5671" w:rsidRPr="002A5671">
              <w:rPr>
                <w:rFonts w:ascii="Arial" w:hAnsi="Arial" w:cs="Arial"/>
                <w:sz w:val="20"/>
                <w:szCs w:val="22"/>
              </w:rPr>
              <w:t>116.0</w:t>
            </w:r>
            <w:r w:rsidRPr="002A5671">
              <w:rPr>
                <w:rFonts w:ascii="Arial" w:hAnsi="Arial" w:cs="Arial"/>
                <w:sz w:val="20"/>
                <w:szCs w:val="22"/>
              </w:rPr>
              <w:t xml:space="preserve"> million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14C1D" w:rsidRPr="00814C1D" w:rsidRDefault="00814C1D" w:rsidP="000850FF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4C1D">
              <w:rPr>
                <w:rFonts w:ascii="Arial" w:hAnsi="Arial" w:cs="Arial"/>
                <w:sz w:val="20"/>
                <w:szCs w:val="22"/>
              </w:rPr>
              <w:t>CEO 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14C1D" w:rsidRPr="00814C1D" w:rsidRDefault="00814C1D" w:rsidP="003254A6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4C1D">
              <w:rPr>
                <w:rFonts w:ascii="Arial" w:hAnsi="Arial" w:cs="Arial"/>
                <w:sz w:val="20"/>
                <w:szCs w:val="22"/>
              </w:rPr>
              <w:t>$</w:t>
            </w:r>
            <w:r w:rsidR="003254A6">
              <w:rPr>
                <w:rFonts w:ascii="Arial" w:hAnsi="Arial" w:cs="Arial"/>
                <w:sz w:val="20"/>
                <w:szCs w:val="22"/>
              </w:rPr>
              <w:t>211,883</w:t>
            </w:r>
          </w:p>
        </w:tc>
        <w:tc>
          <w:tcPr>
            <w:tcW w:w="12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14C1D" w:rsidRPr="00814C1D" w:rsidRDefault="00814C1D" w:rsidP="000850FF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4C1D">
              <w:rPr>
                <w:rFonts w:ascii="Arial" w:hAnsi="Arial" w:cs="Arial"/>
                <w:sz w:val="20"/>
                <w:szCs w:val="22"/>
              </w:rPr>
              <w:t>$</w:t>
            </w:r>
            <w:r w:rsidR="003254A6">
              <w:rPr>
                <w:rFonts w:ascii="Arial" w:hAnsi="Arial" w:cs="Arial"/>
                <w:sz w:val="20"/>
                <w:szCs w:val="22"/>
              </w:rPr>
              <w:t>235,424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14C1D" w:rsidRPr="00814C1D" w:rsidRDefault="00814C1D" w:rsidP="000850FF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4C1D">
              <w:rPr>
                <w:rFonts w:ascii="Arial" w:hAnsi="Arial" w:cs="Arial"/>
                <w:sz w:val="20"/>
                <w:szCs w:val="22"/>
              </w:rPr>
              <w:t>$</w:t>
            </w:r>
            <w:r w:rsidR="003254A6" w:rsidRPr="00814C1D">
              <w:rPr>
                <w:rFonts w:ascii="Arial" w:hAnsi="Arial" w:cs="Arial"/>
                <w:sz w:val="20"/>
                <w:szCs w:val="22"/>
              </w:rPr>
              <w:t>257,991</w:t>
            </w:r>
          </w:p>
        </w:tc>
      </w:tr>
      <w:tr w:rsidR="00814C1D" w:rsidRPr="00DA0CEA" w:rsidTr="00814C1D"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4C1D" w:rsidRPr="00814C1D" w:rsidRDefault="00814C1D" w:rsidP="000850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4C1D" w:rsidRPr="003254A6" w:rsidRDefault="00814C1D" w:rsidP="000850FF">
            <w:pPr>
              <w:ind w:left="-108" w:firstLine="108"/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4C1D" w:rsidRPr="00EE1281" w:rsidRDefault="00814C1D" w:rsidP="000850FF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E1281">
              <w:rPr>
                <w:rFonts w:ascii="Arial" w:hAnsi="Arial" w:cs="Arial"/>
                <w:sz w:val="20"/>
                <w:szCs w:val="22"/>
              </w:rPr>
              <w:t>EO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4C1D" w:rsidRPr="00EE1281" w:rsidRDefault="00814C1D" w:rsidP="002A5671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E1281">
              <w:rPr>
                <w:rFonts w:ascii="Arial" w:hAnsi="Arial" w:cs="Arial"/>
                <w:sz w:val="20"/>
                <w:szCs w:val="22"/>
              </w:rPr>
              <w:t>$</w:t>
            </w:r>
            <w:r w:rsidR="002A5671" w:rsidRPr="00EE1281">
              <w:rPr>
                <w:rFonts w:ascii="Arial" w:hAnsi="Arial" w:cs="Arial"/>
                <w:sz w:val="20"/>
                <w:szCs w:val="22"/>
              </w:rPr>
              <w:t>152,560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4C1D" w:rsidRPr="002A5671" w:rsidRDefault="00814C1D" w:rsidP="000850FF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A5671">
              <w:rPr>
                <w:rFonts w:ascii="Arial" w:hAnsi="Arial" w:cs="Arial"/>
                <w:sz w:val="20"/>
                <w:szCs w:val="22"/>
              </w:rPr>
              <w:t>n/a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4C1D" w:rsidRPr="002A5671" w:rsidRDefault="00814C1D" w:rsidP="000850FF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A5671">
              <w:rPr>
                <w:rFonts w:ascii="Arial" w:hAnsi="Arial" w:cs="Arial"/>
                <w:sz w:val="20"/>
                <w:szCs w:val="22"/>
              </w:rPr>
              <w:t>n/a</w:t>
            </w:r>
          </w:p>
        </w:tc>
      </w:tr>
      <w:tr w:rsidR="00814C1D" w:rsidRPr="00DA0CEA" w:rsidTr="00814C1D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14C1D" w:rsidRPr="00814C1D" w:rsidRDefault="00814C1D" w:rsidP="000850F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4C1D">
              <w:rPr>
                <w:rFonts w:ascii="Arial" w:hAnsi="Arial" w:cs="Arial"/>
                <w:b/>
                <w:sz w:val="20"/>
                <w:szCs w:val="22"/>
              </w:rPr>
              <w:t>1 July 201</w:t>
            </w:r>
            <w:r w:rsidR="002A5671">
              <w:rPr>
                <w:rFonts w:ascii="Arial" w:hAnsi="Arial" w:cs="Arial"/>
                <w:b/>
                <w:sz w:val="20"/>
                <w:szCs w:val="22"/>
              </w:rPr>
              <w:t>6</w:t>
            </w:r>
            <w:r w:rsidRPr="00814C1D">
              <w:rPr>
                <w:rFonts w:ascii="Arial" w:hAnsi="Arial" w:cs="Arial"/>
                <w:b/>
                <w:sz w:val="20"/>
                <w:szCs w:val="22"/>
              </w:rPr>
              <w:t>–</w:t>
            </w:r>
          </w:p>
          <w:p w:rsidR="00814C1D" w:rsidRPr="00814C1D" w:rsidRDefault="00814C1D" w:rsidP="002A5671">
            <w:pPr>
              <w:jc w:val="center"/>
              <w:rPr>
                <w:rFonts w:ascii="Arial" w:hAnsi="Arial" w:cs="Arial"/>
                <w:sz w:val="20"/>
              </w:rPr>
            </w:pPr>
            <w:r w:rsidRPr="00814C1D">
              <w:rPr>
                <w:rFonts w:ascii="Arial" w:hAnsi="Arial" w:cs="Arial"/>
                <w:b/>
                <w:sz w:val="20"/>
                <w:szCs w:val="22"/>
              </w:rPr>
              <w:t>30 June 201</w:t>
            </w:r>
            <w:r w:rsidR="002A5671">
              <w:rPr>
                <w:rFonts w:ascii="Arial" w:hAnsi="Arial" w:cs="Arial"/>
                <w:b/>
                <w:sz w:val="20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C1D" w:rsidRPr="00EE1281" w:rsidRDefault="00814C1D" w:rsidP="000850FF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E1281">
              <w:rPr>
                <w:rFonts w:ascii="Arial" w:hAnsi="Arial" w:cs="Arial"/>
                <w:sz w:val="20"/>
                <w:szCs w:val="22"/>
              </w:rPr>
              <w:t>Greater than</w:t>
            </w:r>
          </w:p>
          <w:p w:rsidR="00814C1D" w:rsidRPr="00EE1281" w:rsidRDefault="00814C1D" w:rsidP="009E4DDC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E1281">
              <w:rPr>
                <w:rFonts w:ascii="Arial" w:hAnsi="Arial" w:cs="Arial"/>
                <w:sz w:val="20"/>
                <w:szCs w:val="22"/>
              </w:rPr>
              <w:t>$</w:t>
            </w:r>
            <w:r w:rsidR="009E4DDC">
              <w:rPr>
                <w:rFonts w:ascii="Arial" w:hAnsi="Arial" w:cs="Arial"/>
                <w:sz w:val="20"/>
                <w:szCs w:val="22"/>
              </w:rPr>
              <w:t>116.0</w:t>
            </w:r>
            <w:r w:rsidRPr="00EE1281">
              <w:rPr>
                <w:rFonts w:ascii="Arial" w:hAnsi="Arial" w:cs="Arial"/>
                <w:sz w:val="20"/>
                <w:szCs w:val="22"/>
              </w:rPr>
              <w:t xml:space="preserve"> million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14C1D" w:rsidRPr="00814C1D" w:rsidRDefault="00814C1D" w:rsidP="000850FF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4C1D">
              <w:rPr>
                <w:rFonts w:ascii="Arial" w:hAnsi="Arial" w:cs="Arial"/>
                <w:sz w:val="20"/>
                <w:szCs w:val="22"/>
              </w:rPr>
              <w:t>CEO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14C1D" w:rsidRPr="00814C1D" w:rsidRDefault="00814C1D" w:rsidP="003254A6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4C1D">
              <w:rPr>
                <w:rFonts w:ascii="Arial" w:hAnsi="Arial" w:cs="Arial"/>
                <w:sz w:val="20"/>
                <w:szCs w:val="22"/>
              </w:rPr>
              <w:t>$</w:t>
            </w:r>
            <w:r w:rsidR="003254A6">
              <w:rPr>
                <w:rFonts w:ascii="Arial" w:hAnsi="Arial" w:cs="Arial"/>
                <w:sz w:val="20"/>
                <w:szCs w:val="22"/>
              </w:rPr>
              <w:t>263,234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:rsidR="00814C1D" w:rsidRPr="00814C1D" w:rsidRDefault="00814C1D" w:rsidP="003254A6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4C1D">
              <w:rPr>
                <w:rFonts w:ascii="Arial" w:hAnsi="Arial" w:cs="Arial"/>
                <w:sz w:val="20"/>
                <w:szCs w:val="22"/>
              </w:rPr>
              <w:t>$</w:t>
            </w:r>
            <w:r w:rsidR="003254A6">
              <w:rPr>
                <w:rFonts w:ascii="Arial" w:hAnsi="Arial" w:cs="Arial"/>
                <w:sz w:val="20"/>
                <w:szCs w:val="22"/>
              </w:rPr>
              <w:t>296,421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:rsidR="00814C1D" w:rsidRPr="00814C1D" w:rsidRDefault="002A5671" w:rsidP="000850FF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$328,399</w:t>
            </w:r>
          </w:p>
        </w:tc>
      </w:tr>
      <w:tr w:rsidR="00814C1D" w:rsidRPr="00DA0CEA" w:rsidTr="00814C1D">
        <w:tc>
          <w:tcPr>
            <w:tcW w:w="1701" w:type="dxa"/>
            <w:shd w:val="clear" w:color="auto" w:fill="auto"/>
          </w:tcPr>
          <w:p w:rsidR="00814C1D" w:rsidRPr="00814C1D" w:rsidRDefault="00814C1D" w:rsidP="000850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C1D" w:rsidRPr="00EE1281" w:rsidRDefault="00814C1D" w:rsidP="009E4DDC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E1281">
              <w:rPr>
                <w:rFonts w:ascii="Arial" w:hAnsi="Arial" w:cs="Arial"/>
                <w:sz w:val="20"/>
                <w:szCs w:val="22"/>
              </w:rPr>
              <w:t>Up to $</w:t>
            </w:r>
            <w:r w:rsidR="009E4DDC">
              <w:rPr>
                <w:rFonts w:ascii="Arial" w:hAnsi="Arial" w:cs="Arial"/>
                <w:sz w:val="20"/>
                <w:szCs w:val="22"/>
              </w:rPr>
              <w:t>116.0</w:t>
            </w:r>
            <w:bookmarkStart w:id="0" w:name="_GoBack"/>
            <w:bookmarkEnd w:id="0"/>
            <w:r w:rsidRPr="00EE1281">
              <w:rPr>
                <w:rFonts w:ascii="Arial" w:hAnsi="Arial" w:cs="Arial"/>
                <w:sz w:val="20"/>
                <w:szCs w:val="22"/>
              </w:rPr>
              <w:t xml:space="preserve"> million</w:t>
            </w:r>
          </w:p>
        </w:tc>
        <w:tc>
          <w:tcPr>
            <w:tcW w:w="1559" w:type="dxa"/>
            <w:shd w:val="clear" w:color="auto" w:fill="auto"/>
          </w:tcPr>
          <w:p w:rsidR="00814C1D" w:rsidRPr="00814C1D" w:rsidRDefault="00814C1D" w:rsidP="000850FF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4C1D">
              <w:rPr>
                <w:rFonts w:ascii="Arial" w:hAnsi="Arial" w:cs="Arial"/>
                <w:sz w:val="20"/>
                <w:szCs w:val="22"/>
              </w:rPr>
              <w:t>CEO 2</w:t>
            </w:r>
          </w:p>
        </w:tc>
        <w:tc>
          <w:tcPr>
            <w:tcW w:w="1276" w:type="dxa"/>
            <w:shd w:val="clear" w:color="auto" w:fill="auto"/>
          </w:tcPr>
          <w:p w:rsidR="00814C1D" w:rsidRPr="00814C1D" w:rsidRDefault="00814C1D" w:rsidP="003254A6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4C1D">
              <w:rPr>
                <w:rFonts w:ascii="Arial" w:hAnsi="Arial" w:cs="Arial"/>
                <w:sz w:val="20"/>
                <w:szCs w:val="22"/>
              </w:rPr>
              <w:t>$</w:t>
            </w:r>
            <w:r w:rsidR="003254A6">
              <w:rPr>
                <w:rFonts w:ascii="Arial" w:hAnsi="Arial" w:cs="Arial"/>
                <w:sz w:val="20"/>
                <w:szCs w:val="22"/>
              </w:rPr>
              <w:t>217,180</w:t>
            </w:r>
          </w:p>
        </w:tc>
        <w:tc>
          <w:tcPr>
            <w:tcW w:w="1228" w:type="dxa"/>
            <w:shd w:val="clear" w:color="auto" w:fill="auto"/>
          </w:tcPr>
          <w:p w:rsidR="00814C1D" w:rsidRPr="00814C1D" w:rsidRDefault="00814C1D" w:rsidP="003254A6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4C1D">
              <w:rPr>
                <w:rFonts w:ascii="Arial" w:hAnsi="Arial" w:cs="Arial"/>
                <w:sz w:val="20"/>
                <w:szCs w:val="22"/>
              </w:rPr>
              <w:t>$</w:t>
            </w:r>
            <w:r w:rsidR="003254A6">
              <w:rPr>
                <w:rFonts w:ascii="Arial" w:hAnsi="Arial" w:cs="Arial"/>
                <w:sz w:val="20"/>
                <w:szCs w:val="22"/>
              </w:rPr>
              <w:t>241,309</w:t>
            </w:r>
          </w:p>
        </w:tc>
        <w:tc>
          <w:tcPr>
            <w:tcW w:w="1182" w:type="dxa"/>
            <w:shd w:val="clear" w:color="auto" w:fill="auto"/>
          </w:tcPr>
          <w:p w:rsidR="00814C1D" w:rsidRPr="00814C1D" w:rsidRDefault="00814C1D" w:rsidP="002A5671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4C1D">
              <w:rPr>
                <w:rFonts w:ascii="Arial" w:hAnsi="Arial" w:cs="Arial"/>
                <w:sz w:val="20"/>
                <w:szCs w:val="22"/>
              </w:rPr>
              <w:t>$</w:t>
            </w:r>
            <w:r w:rsidR="002A5671">
              <w:rPr>
                <w:rFonts w:ascii="Arial" w:hAnsi="Arial" w:cs="Arial"/>
                <w:sz w:val="20"/>
                <w:szCs w:val="22"/>
              </w:rPr>
              <w:t>264,442</w:t>
            </w:r>
          </w:p>
        </w:tc>
      </w:tr>
      <w:tr w:rsidR="00814C1D" w:rsidRPr="00DA0CEA" w:rsidTr="00814C1D">
        <w:tc>
          <w:tcPr>
            <w:tcW w:w="1701" w:type="dxa"/>
            <w:shd w:val="clear" w:color="auto" w:fill="auto"/>
          </w:tcPr>
          <w:p w:rsidR="00814C1D" w:rsidRPr="00814C1D" w:rsidRDefault="00814C1D" w:rsidP="000850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14C1D" w:rsidRPr="00814C1D" w:rsidRDefault="00814C1D" w:rsidP="000850FF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4C1D" w:rsidRPr="00EE1281" w:rsidRDefault="00814C1D" w:rsidP="000850FF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E1281">
              <w:rPr>
                <w:rFonts w:ascii="Arial" w:hAnsi="Arial" w:cs="Arial"/>
                <w:sz w:val="20"/>
                <w:szCs w:val="22"/>
              </w:rPr>
              <w:t>EO</w:t>
            </w:r>
          </w:p>
        </w:tc>
        <w:tc>
          <w:tcPr>
            <w:tcW w:w="1276" w:type="dxa"/>
            <w:shd w:val="clear" w:color="auto" w:fill="auto"/>
          </w:tcPr>
          <w:p w:rsidR="00814C1D" w:rsidRPr="00EE1281" w:rsidRDefault="00814C1D" w:rsidP="002A5671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E1281">
              <w:rPr>
                <w:rFonts w:ascii="Arial" w:hAnsi="Arial" w:cs="Arial"/>
                <w:sz w:val="20"/>
                <w:szCs w:val="22"/>
              </w:rPr>
              <w:t>$</w:t>
            </w:r>
            <w:r w:rsidR="002A5671" w:rsidRPr="00EE1281">
              <w:rPr>
                <w:rFonts w:ascii="Arial" w:hAnsi="Arial" w:cs="Arial"/>
                <w:sz w:val="20"/>
                <w:szCs w:val="22"/>
              </w:rPr>
              <w:t>156,374</w:t>
            </w:r>
          </w:p>
        </w:tc>
        <w:tc>
          <w:tcPr>
            <w:tcW w:w="1228" w:type="dxa"/>
            <w:shd w:val="clear" w:color="auto" w:fill="auto"/>
          </w:tcPr>
          <w:p w:rsidR="00814C1D" w:rsidRPr="002A5671" w:rsidRDefault="00814C1D" w:rsidP="000850FF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A5671">
              <w:rPr>
                <w:rFonts w:ascii="Arial" w:hAnsi="Arial" w:cs="Arial"/>
                <w:sz w:val="20"/>
                <w:szCs w:val="22"/>
              </w:rPr>
              <w:t>n/a</w:t>
            </w:r>
          </w:p>
        </w:tc>
        <w:tc>
          <w:tcPr>
            <w:tcW w:w="1182" w:type="dxa"/>
            <w:shd w:val="clear" w:color="auto" w:fill="auto"/>
          </w:tcPr>
          <w:p w:rsidR="00814C1D" w:rsidRPr="002A5671" w:rsidRDefault="00814C1D" w:rsidP="000850FF">
            <w:pPr>
              <w:ind w:left="-108" w:firstLine="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A5671">
              <w:rPr>
                <w:rFonts w:ascii="Arial" w:hAnsi="Arial" w:cs="Arial"/>
                <w:sz w:val="20"/>
                <w:szCs w:val="22"/>
              </w:rPr>
              <w:t>n/a</w:t>
            </w:r>
          </w:p>
        </w:tc>
      </w:tr>
    </w:tbl>
    <w:p w:rsidR="00AA3E80" w:rsidRDefault="00AA3E80" w:rsidP="00814C1D">
      <w:pPr>
        <w:jc w:val="both"/>
        <w:rPr>
          <w:rFonts w:ascii="Arial" w:hAnsi="Arial" w:cs="Arial"/>
          <w:i/>
        </w:rPr>
      </w:pPr>
    </w:p>
    <w:p w:rsidR="009F02C2" w:rsidRPr="00D516C1" w:rsidRDefault="009F02C2" w:rsidP="009F02C2">
      <w:pPr>
        <w:jc w:val="both"/>
        <w:rPr>
          <w:rFonts w:ascii="Arial" w:hAnsi="Arial" w:cs="Arial"/>
        </w:rPr>
      </w:pPr>
      <w:r w:rsidRPr="00D516C1">
        <w:rPr>
          <w:rFonts w:ascii="Arial" w:hAnsi="Arial" w:cs="Arial"/>
        </w:rPr>
        <w:t xml:space="preserve">A note to Clause 23 and Clause 25.1 </w:t>
      </w:r>
      <w:r w:rsidR="00D516C1" w:rsidRPr="00D516C1">
        <w:rPr>
          <w:rFonts w:ascii="Arial" w:hAnsi="Arial" w:cs="Arial"/>
        </w:rPr>
        <w:t xml:space="preserve">of the Ministerial Directions </w:t>
      </w:r>
      <w:r w:rsidRPr="00D516C1">
        <w:rPr>
          <w:rFonts w:ascii="Arial" w:hAnsi="Arial" w:cs="Arial"/>
        </w:rPr>
        <w:t>provides that TAFE institutes will be notified by the Department that an adjustment or increase has been approved by the Premier – this Circular serves as the notification.</w:t>
      </w:r>
    </w:p>
    <w:p w:rsidR="009F02C2" w:rsidRDefault="009F02C2" w:rsidP="00814C1D">
      <w:pPr>
        <w:rPr>
          <w:rFonts w:ascii="Arial" w:hAnsi="Arial" w:cs="Arial"/>
        </w:rPr>
      </w:pPr>
    </w:p>
    <w:p w:rsidR="00AA3E80" w:rsidRPr="008463DA" w:rsidRDefault="00AA3E80" w:rsidP="00AA3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the Ministerial Directions, see: </w:t>
      </w:r>
      <w:hyperlink r:id="rId12" w:history="1">
        <w:r w:rsidRPr="008463DA">
          <w:rPr>
            <w:rStyle w:val="Hyperlink"/>
            <w:rFonts w:ascii="Arial" w:hAnsi="Arial" w:cs="Arial"/>
          </w:rPr>
          <w:t>http://www.education.vic.gov.au/Documents/about/department/legislation/tafestaffemployment.pdf</w:t>
        </w:r>
      </w:hyperlink>
    </w:p>
    <w:p w:rsidR="00AA3E80" w:rsidRPr="00DA0CEA" w:rsidRDefault="00AA3E80" w:rsidP="00814C1D">
      <w:pPr>
        <w:rPr>
          <w:rFonts w:ascii="Arial" w:hAnsi="Arial" w:cs="Arial"/>
        </w:rPr>
      </w:pPr>
    </w:p>
    <w:p w:rsidR="009F02C2" w:rsidRPr="009F02C2" w:rsidRDefault="009F02C2" w:rsidP="00914B89">
      <w:pPr>
        <w:rPr>
          <w:rFonts w:ascii="Arial" w:hAnsi="Arial" w:cs="Arial"/>
        </w:rPr>
      </w:pPr>
    </w:p>
    <w:sectPr w:rsidR="009F02C2" w:rsidRPr="009F02C2" w:rsidSect="00D516C1">
      <w:pgSz w:w="11904" w:h="16834"/>
      <w:pgMar w:top="1134" w:right="1797" w:bottom="709" w:left="156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DB" w:rsidRDefault="00264EDB" w:rsidP="00A0671D">
      <w:r>
        <w:separator/>
      </w:r>
    </w:p>
  </w:endnote>
  <w:endnote w:type="continuationSeparator" w:id="0">
    <w:p w:rsidR="00264EDB" w:rsidRDefault="00264EDB" w:rsidP="00A0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DB" w:rsidRDefault="00264EDB" w:rsidP="00A0671D">
      <w:r>
        <w:separator/>
      </w:r>
    </w:p>
  </w:footnote>
  <w:footnote w:type="continuationSeparator" w:id="0">
    <w:p w:rsidR="00264EDB" w:rsidRDefault="00264EDB" w:rsidP="00A06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B60"/>
    <w:multiLevelType w:val="hybridMultilevel"/>
    <w:tmpl w:val="05A27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016B3"/>
    <w:multiLevelType w:val="hybridMultilevel"/>
    <w:tmpl w:val="BB1A7264"/>
    <w:lvl w:ilvl="0" w:tplc="0C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61635CB8"/>
    <w:multiLevelType w:val="hybridMultilevel"/>
    <w:tmpl w:val="27E611E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C5"/>
    <w:rsid w:val="000220E2"/>
    <w:rsid w:val="000B5BE5"/>
    <w:rsid w:val="001213C0"/>
    <w:rsid w:val="001C1F78"/>
    <w:rsid w:val="001C65C5"/>
    <w:rsid w:val="00242D0B"/>
    <w:rsid w:val="00264EDB"/>
    <w:rsid w:val="002A5671"/>
    <w:rsid w:val="003155AC"/>
    <w:rsid w:val="003254A6"/>
    <w:rsid w:val="003E6247"/>
    <w:rsid w:val="0043721E"/>
    <w:rsid w:val="0044274F"/>
    <w:rsid w:val="0049298E"/>
    <w:rsid w:val="004A410C"/>
    <w:rsid w:val="004C40EB"/>
    <w:rsid w:val="00524C49"/>
    <w:rsid w:val="00527651"/>
    <w:rsid w:val="00533FC5"/>
    <w:rsid w:val="00581EA1"/>
    <w:rsid w:val="005F5DE9"/>
    <w:rsid w:val="006033CA"/>
    <w:rsid w:val="00672B28"/>
    <w:rsid w:val="006B16EF"/>
    <w:rsid w:val="006B415A"/>
    <w:rsid w:val="007C2F57"/>
    <w:rsid w:val="00814C1D"/>
    <w:rsid w:val="008463DA"/>
    <w:rsid w:val="008A7251"/>
    <w:rsid w:val="008E3A9A"/>
    <w:rsid w:val="00912D72"/>
    <w:rsid w:val="0091301F"/>
    <w:rsid w:val="00914B89"/>
    <w:rsid w:val="009358AE"/>
    <w:rsid w:val="009522DE"/>
    <w:rsid w:val="00962538"/>
    <w:rsid w:val="009D621C"/>
    <w:rsid w:val="009E4DDC"/>
    <w:rsid w:val="009E5807"/>
    <w:rsid w:val="009F02C2"/>
    <w:rsid w:val="00A0671D"/>
    <w:rsid w:val="00A369FE"/>
    <w:rsid w:val="00A90A43"/>
    <w:rsid w:val="00AA3E80"/>
    <w:rsid w:val="00B10441"/>
    <w:rsid w:val="00B553B0"/>
    <w:rsid w:val="00B9484B"/>
    <w:rsid w:val="00CC76B8"/>
    <w:rsid w:val="00CD5088"/>
    <w:rsid w:val="00D516C1"/>
    <w:rsid w:val="00DE7950"/>
    <w:rsid w:val="00DF76CA"/>
    <w:rsid w:val="00E55901"/>
    <w:rsid w:val="00E80708"/>
    <w:rsid w:val="00EE1281"/>
    <w:rsid w:val="00EE708F"/>
    <w:rsid w:val="00F459CD"/>
    <w:rsid w:val="00F55C89"/>
    <w:rsid w:val="00FD70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929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2D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71D"/>
  </w:style>
  <w:style w:type="paragraph" w:styleId="Footer">
    <w:name w:val="footer"/>
    <w:basedOn w:val="Normal"/>
    <w:link w:val="FooterChar"/>
    <w:uiPriority w:val="99"/>
    <w:unhideWhenUsed/>
    <w:rsid w:val="00A0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71D"/>
  </w:style>
  <w:style w:type="paragraph" w:styleId="PlainText">
    <w:name w:val="Plain Text"/>
    <w:basedOn w:val="Normal"/>
    <w:link w:val="PlainTextChar"/>
    <w:uiPriority w:val="99"/>
    <w:semiHidden/>
    <w:unhideWhenUsed/>
    <w:rsid w:val="004A410C"/>
    <w:rPr>
      <w:rFonts w:ascii="Calibri" w:hAnsi="Calibr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410C"/>
    <w:rPr>
      <w:rFonts w:ascii="Calibri" w:hAnsi="Calibri"/>
      <w:sz w:val="22"/>
      <w:szCs w:val="21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929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2D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71D"/>
  </w:style>
  <w:style w:type="paragraph" w:styleId="Footer">
    <w:name w:val="footer"/>
    <w:basedOn w:val="Normal"/>
    <w:link w:val="FooterChar"/>
    <w:uiPriority w:val="99"/>
    <w:unhideWhenUsed/>
    <w:rsid w:val="00A0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71D"/>
  </w:style>
  <w:style w:type="paragraph" w:styleId="PlainText">
    <w:name w:val="Plain Text"/>
    <w:basedOn w:val="Normal"/>
    <w:link w:val="PlainTextChar"/>
    <w:uiPriority w:val="99"/>
    <w:semiHidden/>
    <w:unhideWhenUsed/>
    <w:rsid w:val="004A410C"/>
    <w:rPr>
      <w:rFonts w:ascii="Calibri" w:hAnsi="Calibr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410C"/>
    <w:rPr>
      <w:rFonts w:ascii="Calibri" w:hAnsi="Calibri"/>
      <w:sz w:val="22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ducation.vic.gov.au/Documents/about/department/legislation/tafestaffemploymen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128</Value>
    </TaxCatchAll>
    <DEECD_Expired xmlns="http://schemas.microsoft.com/sharepoint/v3">false</DEECD_Expired>
    <DEECD_Keywords xmlns="http://schemas.microsoft.com/sharepoint/v3">TAFE Institutes - Total Remuneration Package</DEECD_Keywords>
    <PublishingExpirationDate xmlns="http://schemas.microsoft.com/sharepoint/v3" xsi:nil="true"/>
    <DEECD_Description xmlns="http://schemas.microsoft.com/sharepoint/v3">TAFE Institutes - Total Remuneration Package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 Providers</TermName>
          <TermId xmlns="http://schemas.microsoft.com/office/infopath/2007/PartnerControls">4678ec9c-7948-40c9-b14d-b0149fe9985e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5F69B-8D4E-46CC-B9CE-B1A285BF20DD}"/>
</file>

<file path=customXml/itemProps2.xml><?xml version="1.0" encoding="utf-8"?>
<ds:datastoreItem xmlns:ds="http://schemas.openxmlformats.org/officeDocument/2006/customXml" ds:itemID="{8FB33789-71B1-46B6-893B-60C870872A1B}"/>
</file>

<file path=customXml/itemProps3.xml><?xml version="1.0" encoding="utf-8"?>
<ds:datastoreItem xmlns:ds="http://schemas.openxmlformats.org/officeDocument/2006/customXml" ds:itemID="{149FBEC7-E108-4DDE-9D97-DBE66A1771B2}"/>
</file>

<file path=customXml/itemProps4.xml><?xml version="1.0" encoding="utf-8"?>
<ds:datastoreItem xmlns:ds="http://schemas.openxmlformats.org/officeDocument/2006/customXml" ds:itemID="{9F474A31-1F01-4F35-8107-C011C5060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TAFE Institutes - Total Remuneration Package</vt:lpstr>
    </vt:vector>
  </TitlesOfParts>
  <Company>LOUREY INDUSTRIES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 Institutes - Total Remuneration Package</dc:title>
  <dc:creator>Peter Lourey</dc:creator>
  <cp:lastModifiedBy>Carroll, Sean A</cp:lastModifiedBy>
  <cp:revision>10</cp:revision>
  <cp:lastPrinted>2015-07-21T01:55:00Z</cp:lastPrinted>
  <dcterms:created xsi:type="dcterms:W3CDTF">2016-06-29T07:03:00Z</dcterms:created>
  <dcterms:modified xsi:type="dcterms:W3CDTF">2016-07-06T01:30:00Z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128;#Training Providers|4678ec9c-7948-40c9-b14d-b0149fe9985e</vt:lpwstr>
  </property>
  <property fmtid="{D5CDD505-2E9C-101B-9397-08002B2CF9AE}" pid="7" name="Order">
    <vt:r8>1935500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