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508CF" w14:textId="77777777" w:rsidR="00177596" w:rsidRDefault="00D756AA" w:rsidP="00177596">
      <w:pPr>
        <w:pBdr>
          <w:bottom w:val="single" w:sz="6" w:space="1" w:color="auto"/>
        </w:pBdr>
        <w:rPr>
          <w:rFonts w:ascii="Calibri" w:hAnsi="Calibri"/>
          <w:b/>
          <w:bCs/>
          <w:sz w:val="28"/>
          <w:szCs w:val="28"/>
        </w:rPr>
      </w:pPr>
      <w:r>
        <w:rPr>
          <w:rFonts w:ascii="Calibri" w:hAnsi="Calibri"/>
          <w:b/>
          <w:bCs/>
          <w:sz w:val="28"/>
          <w:szCs w:val="28"/>
        </w:rPr>
        <w:t>Strategic Planning</w:t>
      </w:r>
      <w:r w:rsidR="00177596">
        <w:rPr>
          <w:rFonts w:ascii="Calibri" w:hAnsi="Calibri"/>
          <w:b/>
          <w:bCs/>
          <w:sz w:val="28"/>
          <w:szCs w:val="28"/>
        </w:rPr>
        <w:t xml:space="preserve"> Guidelines – TAFE Institutes</w:t>
      </w:r>
    </w:p>
    <w:p w14:paraId="6DDFDBCA" w14:textId="77777777" w:rsidR="00CA62AA" w:rsidRDefault="00CA62AA" w:rsidP="000F4684">
      <w:pPr>
        <w:pBdr>
          <w:bottom w:val="single" w:sz="6" w:space="1" w:color="auto"/>
        </w:pBdr>
        <w:rPr>
          <w:rFonts w:ascii="Calibri" w:hAnsi="Calibri"/>
          <w:b/>
          <w:bCs/>
          <w:sz w:val="28"/>
          <w:szCs w:val="28"/>
        </w:rPr>
      </w:pPr>
    </w:p>
    <w:p w14:paraId="3FFFD87B" w14:textId="77777777" w:rsidR="00CA62AA" w:rsidRDefault="00CA62AA" w:rsidP="000F4684">
      <w:pPr>
        <w:rPr>
          <w:rFonts w:ascii="Calibri" w:hAnsi="Calibri"/>
          <w:b/>
          <w:sz w:val="28"/>
          <w:szCs w:val="28"/>
        </w:rPr>
      </w:pPr>
    </w:p>
    <w:p w14:paraId="5520C983" w14:textId="77777777" w:rsidR="00CA62AA" w:rsidRDefault="000F4684" w:rsidP="00CA62AA">
      <w:pPr>
        <w:pBdr>
          <w:bottom w:val="single" w:sz="6" w:space="1" w:color="auto"/>
        </w:pBdr>
        <w:rPr>
          <w:rFonts w:ascii="Calibri" w:hAnsi="Calibri"/>
          <w:b/>
          <w:bCs/>
          <w:sz w:val="28"/>
          <w:szCs w:val="28"/>
        </w:rPr>
      </w:pPr>
      <w:r w:rsidRPr="008A2346">
        <w:rPr>
          <w:rFonts w:ascii="Calibri" w:hAnsi="Calibri"/>
          <w:b/>
          <w:sz w:val="28"/>
          <w:szCs w:val="28"/>
        </w:rPr>
        <w:t xml:space="preserve">Guidelines concerning </w:t>
      </w:r>
      <w:r w:rsidR="00347FFC">
        <w:rPr>
          <w:rFonts w:ascii="Calibri" w:hAnsi="Calibri"/>
          <w:b/>
          <w:sz w:val="28"/>
          <w:szCs w:val="28"/>
        </w:rPr>
        <w:t xml:space="preserve">monitoring </w:t>
      </w:r>
      <w:r w:rsidR="00D756AA">
        <w:rPr>
          <w:rFonts w:ascii="Calibri" w:hAnsi="Calibri"/>
          <w:b/>
          <w:sz w:val="28"/>
          <w:szCs w:val="28"/>
        </w:rPr>
        <w:t xml:space="preserve">and reporting </w:t>
      </w:r>
      <w:r w:rsidRPr="008A2346">
        <w:rPr>
          <w:rFonts w:ascii="Calibri" w:hAnsi="Calibri"/>
          <w:b/>
          <w:sz w:val="28"/>
          <w:szCs w:val="28"/>
        </w:rPr>
        <w:t>in accordance with Part</w:t>
      </w:r>
      <w:r w:rsidR="00584CA1">
        <w:rPr>
          <w:rFonts w:ascii="Calibri" w:hAnsi="Calibri"/>
          <w:b/>
          <w:sz w:val="28"/>
          <w:szCs w:val="28"/>
        </w:rPr>
        <w:t> </w:t>
      </w:r>
      <w:r w:rsidRPr="008A2346">
        <w:rPr>
          <w:rFonts w:ascii="Calibri" w:hAnsi="Calibri"/>
          <w:b/>
          <w:sz w:val="28"/>
          <w:szCs w:val="28"/>
        </w:rPr>
        <w:t xml:space="preserve">5.2 of the </w:t>
      </w:r>
      <w:r w:rsidRPr="008A2346">
        <w:rPr>
          <w:rFonts w:ascii="Calibri" w:hAnsi="Calibri"/>
          <w:b/>
          <w:i/>
          <w:sz w:val="28"/>
          <w:szCs w:val="28"/>
        </w:rPr>
        <w:t>Education and Training Reform Act 2006</w:t>
      </w:r>
      <w:r w:rsidRPr="008A2346">
        <w:rPr>
          <w:rFonts w:ascii="Calibri" w:hAnsi="Calibri"/>
          <w:b/>
          <w:sz w:val="28"/>
          <w:szCs w:val="28"/>
        </w:rPr>
        <w:t xml:space="preserve"> </w:t>
      </w:r>
    </w:p>
    <w:p w14:paraId="65DF96D5" w14:textId="200A5607" w:rsidR="00CA62AA" w:rsidRDefault="00CA62AA" w:rsidP="00CA62AA">
      <w:pPr>
        <w:rPr>
          <w:rFonts w:ascii="Calibri" w:hAnsi="Calibri"/>
          <w:b/>
          <w:sz w:val="28"/>
          <w:szCs w:val="28"/>
        </w:rPr>
      </w:pPr>
    </w:p>
    <w:p w14:paraId="0E264310" w14:textId="050DDB07" w:rsidR="002C4F61" w:rsidRPr="002C4F61" w:rsidRDefault="002C4F61" w:rsidP="00C71EEB">
      <w:pPr>
        <w:pStyle w:val="TOCHeading"/>
        <w:jc w:val="center"/>
        <w:rPr>
          <w:rFonts w:asciiTheme="minorHAnsi" w:hAnsiTheme="minorHAnsi" w:cstheme="minorHAnsi"/>
          <w:color w:val="auto"/>
          <w:sz w:val="22"/>
          <w:szCs w:val="22"/>
        </w:rPr>
      </w:pPr>
      <w:bookmarkStart w:id="0" w:name="_Authorising_provisions"/>
      <w:bookmarkEnd w:id="0"/>
      <w:r w:rsidRPr="00C71EEB">
        <w:rPr>
          <w:rFonts w:asciiTheme="minorHAnsi" w:hAnsiTheme="minorHAnsi" w:cstheme="minorHAnsi"/>
          <w:color w:val="auto"/>
          <w:sz w:val="22"/>
          <w:szCs w:val="22"/>
        </w:rPr>
        <w:t xml:space="preserve">As varied </w:t>
      </w:r>
      <w:r w:rsidR="00D501C6" w:rsidRPr="00C71EEB">
        <w:rPr>
          <w:rFonts w:asciiTheme="minorHAnsi" w:hAnsiTheme="minorHAnsi" w:cstheme="minorHAnsi"/>
          <w:color w:val="auto"/>
          <w:sz w:val="22"/>
          <w:szCs w:val="22"/>
        </w:rPr>
        <w:t>26/02</w:t>
      </w:r>
      <w:r w:rsidR="00C71EEB">
        <w:rPr>
          <w:rFonts w:asciiTheme="minorHAnsi" w:hAnsiTheme="minorHAnsi" w:cstheme="minorHAnsi"/>
          <w:color w:val="auto"/>
          <w:sz w:val="22"/>
          <w:szCs w:val="22"/>
        </w:rPr>
        <w:t>/201</w:t>
      </w:r>
      <w:bookmarkStart w:id="1" w:name="_GoBack"/>
      <w:bookmarkEnd w:id="1"/>
      <w:r w:rsidR="00C71EEB">
        <w:rPr>
          <w:rFonts w:asciiTheme="minorHAnsi" w:hAnsiTheme="minorHAnsi" w:cstheme="minorHAnsi"/>
          <w:color w:val="auto"/>
          <w:sz w:val="22"/>
          <w:szCs w:val="22"/>
        </w:rPr>
        <w:t xml:space="preserve">4 </w:t>
      </w:r>
      <w:r w:rsidR="00C71EEB" w:rsidRPr="00C71EEB">
        <w:rPr>
          <w:rFonts w:asciiTheme="minorHAnsi" w:hAnsiTheme="minorHAnsi" w:cstheme="minorHAnsi"/>
          <w:color w:val="auto"/>
          <w:sz w:val="22"/>
          <w:szCs w:val="22"/>
        </w:rPr>
        <w:t>by No. G10</w:t>
      </w:r>
      <w:r w:rsidR="00C71EEB">
        <w:rPr>
          <w:rFonts w:asciiTheme="minorHAnsi" w:hAnsiTheme="minorHAnsi" w:cstheme="minorHAnsi"/>
          <w:color w:val="auto"/>
          <w:sz w:val="22"/>
          <w:szCs w:val="22"/>
        </w:rPr>
        <w:t xml:space="preserve"> </w:t>
      </w:r>
      <w:r w:rsidRPr="00C71EEB">
        <w:rPr>
          <w:rFonts w:asciiTheme="minorHAnsi" w:hAnsiTheme="minorHAnsi" w:cstheme="minorHAnsi"/>
          <w:color w:val="auto"/>
          <w:sz w:val="22"/>
          <w:szCs w:val="22"/>
        </w:rPr>
        <w:t xml:space="preserve">Gazette </w:t>
      </w:r>
      <w:r w:rsidR="00C71EEB" w:rsidRPr="00C71EEB">
        <w:rPr>
          <w:rFonts w:asciiTheme="minorHAnsi" w:hAnsiTheme="minorHAnsi" w:cstheme="minorHAnsi"/>
          <w:color w:val="auto"/>
          <w:sz w:val="22"/>
          <w:szCs w:val="22"/>
        </w:rPr>
        <w:t>06</w:t>
      </w:r>
      <w:r w:rsidRPr="00C71EEB">
        <w:rPr>
          <w:rFonts w:asciiTheme="minorHAnsi" w:hAnsiTheme="minorHAnsi" w:cstheme="minorHAnsi"/>
          <w:color w:val="auto"/>
          <w:sz w:val="22"/>
          <w:szCs w:val="22"/>
        </w:rPr>
        <w:t>/</w:t>
      </w:r>
      <w:r w:rsidR="00C71EEB" w:rsidRPr="00C71EEB">
        <w:rPr>
          <w:rFonts w:asciiTheme="minorHAnsi" w:hAnsiTheme="minorHAnsi" w:cstheme="minorHAnsi"/>
          <w:color w:val="auto"/>
          <w:sz w:val="22"/>
          <w:szCs w:val="22"/>
        </w:rPr>
        <w:t>03/</w:t>
      </w:r>
      <w:r w:rsidRPr="00C71EEB">
        <w:rPr>
          <w:rFonts w:asciiTheme="minorHAnsi" w:hAnsiTheme="minorHAnsi" w:cstheme="minorHAnsi"/>
          <w:color w:val="auto"/>
          <w:sz w:val="22"/>
          <w:szCs w:val="22"/>
        </w:rPr>
        <w:t>2014</w:t>
      </w:r>
    </w:p>
    <w:p w14:paraId="6CE77515" w14:textId="40086751" w:rsidR="002C4F61" w:rsidRDefault="002C4F61">
      <w:pPr>
        <w:pStyle w:val="TOCHeading"/>
        <w:rPr>
          <w:rFonts w:asciiTheme="minorHAnsi" w:hAnsiTheme="minorHAnsi" w:cstheme="minorHAnsi"/>
          <w:b w:val="0"/>
          <w:color w:val="auto"/>
          <w:sz w:val="22"/>
          <w:szCs w:val="22"/>
        </w:rPr>
      </w:pPr>
      <w:r w:rsidRPr="002C4F61">
        <w:rPr>
          <w:rFonts w:asciiTheme="minorHAnsi" w:hAnsiTheme="minorHAnsi" w:cstheme="minorHAnsi"/>
          <w:b w:val="0"/>
          <w:noProof/>
          <w:color w:val="auto"/>
          <w:sz w:val="22"/>
          <w:szCs w:val="22"/>
          <w:lang w:val="en-AU" w:eastAsia="en-AU"/>
        </w:rPr>
        <mc:AlternateContent>
          <mc:Choice Requires="wps">
            <w:drawing>
              <wp:anchor distT="0" distB="0" distL="114300" distR="114300" simplePos="0" relativeHeight="251659264" behindDoc="0" locked="0" layoutInCell="1" allowOverlap="1" wp14:anchorId="7DF87462" wp14:editId="2511583E">
                <wp:simplePos x="0" y="0"/>
                <wp:positionH relativeFrom="column">
                  <wp:posOffset>95250</wp:posOffset>
                </wp:positionH>
                <wp:positionV relativeFrom="paragraph">
                  <wp:posOffset>85725</wp:posOffset>
                </wp:positionV>
                <wp:extent cx="4781550" cy="666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666750"/>
                        </a:xfrm>
                        <a:prstGeom prst="rect">
                          <a:avLst/>
                        </a:prstGeom>
                        <a:solidFill>
                          <a:srgbClr val="FFFFFF"/>
                        </a:solidFill>
                        <a:ln w="9525">
                          <a:solidFill>
                            <a:srgbClr val="000000"/>
                          </a:solidFill>
                          <a:miter lim="800000"/>
                          <a:headEnd/>
                          <a:tailEnd/>
                        </a:ln>
                      </wps:spPr>
                      <wps:txbx>
                        <w:txbxContent>
                          <w:p w14:paraId="63B4C27F" w14:textId="25730177" w:rsidR="002C4F61" w:rsidRPr="002C4F61" w:rsidRDefault="002C4F61" w:rsidP="002C4F61">
                            <w:pPr>
                              <w:jc w:val="center"/>
                            </w:pPr>
                            <w:r>
                              <w:t>This is not an Authorised version of the Guidelines. This document provides a consolidated version of the Strategic Planning Guidelines—TAFE Institutes and subsequent amendments.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6.75pt;width:376.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">
                <v:textbox>
                  <w:txbxContent>
                    <w:p w14:paraId="63B4C27F" w14:textId="25730177" w:rsidR="002C4F61" w:rsidRPr="002C4F61" w:rsidRDefault="002C4F61" w:rsidP="002C4F61">
                      <w:pPr>
                        <w:jc w:val="center"/>
                      </w:pPr>
                      <w:r>
                        <w:t>This is not an Authorised version of the Guidelines. This document provides a consolidated version of the Strategic Planning Guidelines—TAFE Institutes and subsequent amendments.</w:t>
                      </w:r>
                    </w:p>
                  </w:txbxContent>
                </v:textbox>
              </v:shape>
            </w:pict>
          </mc:Fallback>
        </mc:AlternateContent>
      </w:r>
    </w:p>
    <w:p w14:paraId="445CECA2" w14:textId="77777777" w:rsidR="00C71EEB" w:rsidRDefault="00C71EEB">
      <w:pPr>
        <w:pStyle w:val="TOCHeading"/>
        <w:rPr>
          <w:rFonts w:asciiTheme="minorHAnsi" w:hAnsiTheme="minorHAnsi" w:cstheme="minorHAnsi"/>
          <w:color w:val="auto"/>
        </w:rPr>
      </w:pPr>
    </w:p>
    <w:p w14:paraId="4DAA46F7" w14:textId="77777777" w:rsidR="001054D1" w:rsidRPr="00085850" w:rsidRDefault="001054D1">
      <w:pPr>
        <w:pStyle w:val="TOCHeading"/>
        <w:rPr>
          <w:rFonts w:asciiTheme="minorHAnsi" w:hAnsiTheme="minorHAnsi" w:cstheme="minorHAnsi"/>
          <w:color w:val="auto"/>
        </w:rPr>
      </w:pPr>
      <w:r w:rsidRPr="00085850">
        <w:rPr>
          <w:rFonts w:asciiTheme="minorHAnsi" w:hAnsiTheme="minorHAnsi" w:cstheme="minorHAnsi"/>
          <w:color w:val="auto"/>
        </w:rPr>
        <w:t>Contents</w:t>
      </w:r>
    </w:p>
    <w:p w14:paraId="10D65AD7" w14:textId="77777777" w:rsidR="00B87ED2" w:rsidRDefault="001054D1">
      <w:pPr>
        <w:pStyle w:val="TOC3"/>
        <w:tabs>
          <w:tab w:val="right" w:leader="dot" w:pos="8296"/>
        </w:tabs>
        <w:rPr>
          <w:rFonts w:asciiTheme="minorHAnsi" w:eastAsiaTheme="minorEastAsia" w:hAnsiTheme="minorHAnsi" w:cstheme="minorBidi"/>
          <w:noProof/>
          <w:sz w:val="22"/>
          <w:szCs w:val="22"/>
        </w:rPr>
      </w:pPr>
      <w:r w:rsidRPr="00085850">
        <w:rPr>
          <w:rFonts w:asciiTheme="minorHAnsi" w:hAnsiTheme="minorHAnsi"/>
        </w:rPr>
        <w:fldChar w:fldCharType="begin"/>
      </w:r>
      <w:r w:rsidRPr="00085850">
        <w:rPr>
          <w:rFonts w:asciiTheme="minorHAnsi" w:hAnsiTheme="minorHAnsi"/>
        </w:rPr>
        <w:instrText xml:space="preserve"> TOC \o "1-3" \h \z \u </w:instrText>
      </w:r>
      <w:r w:rsidRPr="00085850">
        <w:rPr>
          <w:rFonts w:asciiTheme="minorHAnsi" w:hAnsiTheme="minorHAnsi"/>
        </w:rPr>
        <w:fldChar w:fldCharType="separate"/>
      </w:r>
      <w:hyperlink w:anchor="_Toc353436438" w:history="1">
        <w:r w:rsidR="00B87ED2" w:rsidRPr="0012511E">
          <w:rPr>
            <w:rStyle w:val="Hyperlink"/>
            <w:rFonts w:ascii="Calibri" w:hAnsi="Calibri"/>
            <w:noProof/>
          </w:rPr>
          <w:t>Authorising provisions</w:t>
        </w:r>
        <w:r w:rsidR="00B87ED2">
          <w:rPr>
            <w:noProof/>
            <w:webHidden/>
          </w:rPr>
          <w:tab/>
        </w:r>
        <w:r w:rsidR="00B87ED2">
          <w:rPr>
            <w:noProof/>
            <w:webHidden/>
          </w:rPr>
          <w:fldChar w:fldCharType="begin"/>
        </w:r>
        <w:r w:rsidR="00B87ED2">
          <w:rPr>
            <w:noProof/>
            <w:webHidden/>
          </w:rPr>
          <w:instrText xml:space="preserve"> PAGEREF _Toc353436438 \h </w:instrText>
        </w:r>
        <w:r w:rsidR="00B87ED2">
          <w:rPr>
            <w:noProof/>
            <w:webHidden/>
          </w:rPr>
        </w:r>
        <w:r w:rsidR="00B87ED2">
          <w:rPr>
            <w:noProof/>
            <w:webHidden/>
          </w:rPr>
          <w:fldChar w:fldCharType="separate"/>
        </w:r>
        <w:r w:rsidR="00E21297">
          <w:rPr>
            <w:noProof/>
            <w:webHidden/>
          </w:rPr>
          <w:t>1</w:t>
        </w:r>
        <w:r w:rsidR="00B87ED2">
          <w:rPr>
            <w:noProof/>
            <w:webHidden/>
          </w:rPr>
          <w:fldChar w:fldCharType="end"/>
        </w:r>
      </w:hyperlink>
    </w:p>
    <w:p w14:paraId="0A67AC58" w14:textId="77777777" w:rsidR="00B87ED2" w:rsidRDefault="00C71EEB">
      <w:pPr>
        <w:pStyle w:val="TOC3"/>
        <w:tabs>
          <w:tab w:val="right" w:leader="dot" w:pos="8296"/>
        </w:tabs>
        <w:rPr>
          <w:rFonts w:asciiTheme="minorHAnsi" w:eastAsiaTheme="minorEastAsia" w:hAnsiTheme="minorHAnsi" w:cstheme="minorBidi"/>
          <w:noProof/>
          <w:sz w:val="22"/>
          <w:szCs w:val="22"/>
        </w:rPr>
      </w:pPr>
      <w:hyperlink w:anchor="_Toc353436439" w:history="1">
        <w:r w:rsidR="00B87ED2" w:rsidRPr="0012511E">
          <w:rPr>
            <w:rStyle w:val="Hyperlink"/>
            <w:rFonts w:ascii="Calibri" w:hAnsi="Calibri"/>
            <w:noProof/>
          </w:rPr>
          <w:t>Purpose</w:t>
        </w:r>
        <w:r w:rsidR="00B87ED2">
          <w:rPr>
            <w:noProof/>
            <w:webHidden/>
          </w:rPr>
          <w:tab/>
        </w:r>
        <w:r w:rsidR="00B87ED2">
          <w:rPr>
            <w:noProof/>
            <w:webHidden/>
          </w:rPr>
          <w:fldChar w:fldCharType="begin"/>
        </w:r>
        <w:r w:rsidR="00B87ED2">
          <w:rPr>
            <w:noProof/>
            <w:webHidden/>
          </w:rPr>
          <w:instrText xml:space="preserve"> PAGEREF _Toc353436439 \h </w:instrText>
        </w:r>
        <w:r w:rsidR="00B87ED2">
          <w:rPr>
            <w:noProof/>
            <w:webHidden/>
          </w:rPr>
        </w:r>
        <w:r w:rsidR="00B87ED2">
          <w:rPr>
            <w:noProof/>
            <w:webHidden/>
          </w:rPr>
          <w:fldChar w:fldCharType="separate"/>
        </w:r>
        <w:r w:rsidR="00E21297">
          <w:rPr>
            <w:noProof/>
            <w:webHidden/>
          </w:rPr>
          <w:t>1</w:t>
        </w:r>
        <w:r w:rsidR="00B87ED2">
          <w:rPr>
            <w:noProof/>
            <w:webHidden/>
          </w:rPr>
          <w:fldChar w:fldCharType="end"/>
        </w:r>
      </w:hyperlink>
    </w:p>
    <w:p w14:paraId="464B7553" w14:textId="77777777" w:rsidR="00B87ED2" w:rsidRDefault="00C71EEB">
      <w:pPr>
        <w:pStyle w:val="TOC3"/>
        <w:tabs>
          <w:tab w:val="right" w:leader="dot" w:pos="8296"/>
        </w:tabs>
        <w:rPr>
          <w:rFonts w:asciiTheme="minorHAnsi" w:eastAsiaTheme="minorEastAsia" w:hAnsiTheme="minorHAnsi" w:cstheme="minorBidi"/>
          <w:noProof/>
          <w:sz w:val="22"/>
          <w:szCs w:val="22"/>
        </w:rPr>
      </w:pPr>
      <w:hyperlink w:anchor="_Toc353436440" w:history="1">
        <w:r w:rsidR="00B87ED2" w:rsidRPr="0012511E">
          <w:rPr>
            <w:rStyle w:val="Hyperlink"/>
            <w:rFonts w:ascii="Calibri" w:hAnsi="Calibri"/>
            <w:noProof/>
          </w:rPr>
          <w:t>Commencement</w:t>
        </w:r>
        <w:r w:rsidR="00B87ED2">
          <w:rPr>
            <w:noProof/>
            <w:webHidden/>
          </w:rPr>
          <w:tab/>
        </w:r>
        <w:r w:rsidR="00B87ED2">
          <w:rPr>
            <w:noProof/>
            <w:webHidden/>
          </w:rPr>
          <w:fldChar w:fldCharType="begin"/>
        </w:r>
        <w:r w:rsidR="00B87ED2">
          <w:rPr>
            <w:noProof/>
            <w:webHidden/>
          </w:rPr>
          <w:instrText xml:space="preserve"> PAGEREF _Toc353436440 \h </w:instrText>
        </w:r>
        <w:r w:rsidR="00B87ED2">
          <w:rPr>
            <w:noProof/>
            <w:webHidden/>
          </w:rPr>
        </w:r>
        <w:r w:rsidR="00B87ED2">
          <w:rPr>
            <w:noProof/>
            <w:webHidden/>
          </w:rPr>
          <w:fldChar w:fldCharType="separate"/>
        </w:r>
        <w:r w:rsidR="00E21297">
          <w:rPr>
            <w:noProof/>
            <w:webHidden/>
          </w:rPr>
          <w:t>1</w:t>
        </w:r>
        <w:r w:rsidR="00B87ED2">
          <w:rPr>
            <w:noProof/>
            <w:webHidden/>
          </w:rPr>
          <w:fldChar w:fldCharType="end"/>
        </w:r>
      </w:hyperlink>
    </w:p>
    <w:p w14:paraId="57E0C452" w14:textId="77777777" w:rsidR="00B87ED2" w:rsidRDefault="00C71EEB">
      <w:pPr>
        <w:pStyle w:val="TOC3"/>
        <w:tabs>
          <w:tab w:val="right" w:leader="dot" w:pos="8296"/>
        </w:tabs>
        <w:rPr>
          <w:rFonts w:asciiTheme="minorHAnsi" w:eastAsiaTheme="minorEastAsia" w:hAnsiTheme="minorHAnsi" w:cstheme="minorBidi"/>
          <w:noProof/>
          <w:sz w:val="22"/>
          <w:szCs w:val="22"/>
        </w:rPr>
      </w:pPr>
      <w:hyperlink w:anchor="_Toc353436441" w:history="1">
        <w:r w:rsidR="00B87ED2" w:rsidRPr="0012511E">
          <w:rPr>
            <w:rStyle w:val="Hyperlink"/>
            <w:rFonts w:ascii="Calibri" w:hAnsi="Calibri"/>
            <w:noProof/>
          </w:rPr>
          <w:t>Application of other laws</w:t>
        </w:r>
        <w:r w:rsidR="00B87ED2">
          <w:rPr>
            <w:noProof/>
            <w:webHidden/>
          </w:rPr>
          <w:tab/>
        </w:r>
        <w:r w:rsidR="00B87ED2">
          <w:rPr>
            <w:noProof/>
            <w:webHidden/>
          </w:rPr>
          <w:fldChar w:fldCharType="begin"/>
        </w:r>
        <w:r w:rsidR="00B87ED2">
          <w:rPr>
            <w:noProof/>
            <w:webHidden/>
          </w:rPr>
          <w:instrText xml:space="preserve"> PAGEREF _Toc353436441 \h </w:instrText>
        </w:r>
        <w:r w:rsidR="00B87ED2">
          <w:rPr>
            <w:noProof/>
            <w:webHidden/>
          </w:rPr>
        </w:r>
        <w:r w:rsidR="00B87ED2">
          <w:rPr>
            <w:noProof/>
            <w:webHidden/>
          </w:rPr>
          <w:fldChar w:fldCharType="separate"/>
        </w:r>
        <w:r w:rsidR="00E21297">
          <w:rPr>
            <w:noProof/>
            <w:webHidden/>
          </w:rPr>
          <w:t>1</w:t>
        </w:r>
        <w:r w:rsidR="00B87ED2">
          <w:rPr>
            <w:noProof/>
            <w:webHidden/>
          </w:rPr>
          <w:fldChar w:fldCharType="end"/>
        </w:r>
      </w:hyperlink>
    </w:p>
    <w:p w14:paraId="64D86F74" w14:textId="77777777" w:rsidR="00B87ED2" w:rsidRDefault="00C71EEB">
      <w:pPr>
        <w:pStyle w:val="TOC3"/>
        <w:tabs>
          <w:tab w:val="right" w:leader="dot" w:pos="8296"/>
        </w:tabs>
        <w:rPr>
          <w:rFonts w:asciiTheme="minorHAnsi" w:eastAsiaTheme="minorEastAsia" w:hAnsiTheme="minorHAnsi" w:cstheme="minorBidi"/>
          <w:noProof/>
          <w:sz w:val="22"/>
          <w:szCs w:val="22"/>
        </w:rPr>
      </w:pPr>
      <w:hyperlink w:anchor="_Toc353436442" w:history="1">
        <w:r w:rsidR="00B87ED2" w:rsidRPr="0012511E">
          <w:rPr>
            <w:rStyle w:val="Hyperlink"/>
            <w:rFonts w:ascii="Calibri" w:hAnsi="Calibri"/>
            <w:noProof/>
          </w:rPr>
          <w:t>Definitions</w:t>
        </w:r>
        <w:r w:rsidR="00B87ED2">
          <w:rPr>
            <w:noProof/>
            <w:webHidden/>
          </w:rPr>
          <w:tab/>
        </w:r>
        <w:r w:rsidR="00B87ED2">
          <w:rPr>
            <w:noProof/>
            <w:webHidden/>
          </w:rPr>
          <w:fldChar w:fldCharType="begin"/>
        </w:r>
        <w:r w:rsidR="00B87ED2">
          <w:rPr>
            <w:noProof/>
            <w:webHidden/>
          </w:rPr>
          <w:instrText xml:space="preserve"> PAGEREF _Toc353436442 \h </w:instrText>
        </w:r>
        <w:r w:rsidR="00B87ED2">
          <w:rPr>
            <w:noProof/>
            <w:webHidden/>
          </w:rPr>
        </w:r>
        <w:r w:rsidR="00B87ED2">
          <w:rPr>
            <w:noProof/>
            <w:webHidden/>
          </w:rPr>
          <w:fldChar w:fldCharType="separate"/>
        </w:r>
        <w:r w:rsidR="00E21297">
          <w:rPr>
            <w:noProof/>
            <w:webHidden/>
          </w:rPr>
          <w:t>2</w:t>
        </w:r>
        <w:r w:rsidR="00B87ED2">
          <w:rPr>
            <w:noProof/>
            <w:webHidden/>
          </w:rPr>
          <w:fldChar w:fldCharType="end"/>
        </w:r>
      </w:hyperlink>
    </w:p>
    <w:p w14:paraId="5E38A408" w14:textId="77777777" w:rsidR="00B87ED2" w:rsidRDefault="00C71EEB">
      <w:pPr>
        <w:pStyle w:val="TOC3"/>
        <w:tabs>
          <w:tab w:val="right" w:leader="dot" w:pos="8296"/>
        </w:tabs>
        <w:rPr>
          <w:rFonts w:asciiTheme="minorHAnsi" w:eastAsiaTheme="minorEastAsia" w:hAnsiTheme="minorHAnsi" w:cstheme="minorBidi"/>
          <w:noProof/>
          <w:sz w:val="22"/>
          <w:szCs w:val="22"/>
        </w:rPr>
      </w:pPr>
      <w:hyperlink w:anchor="_Toc353436443" w:history="1">
        <w:r w:rsidR="00B87ED2" w:rsidRPr="0012511E">
          <w:rPr>
            <w:rStyle w:val="Hyperlink"/>
            <w:rFonts w:ascii="Calibri" w:hAnsi="Calibri"/>
            <w:noProof/>
          </w:rPr>
          <w:t>Guideline 1 – Financial objectives for TAFE institutes</w:t>
        </w:r>
        <w:r w:rsidR="00B87ED2">
          <w:rPr>
            <w:noProof/>
            <w:webHidden/>
          </w:rPr>
          <w:tab/>
        </w:r>
        <w:r w:rsidR="00B87ED2">
          <w:rPr>
            <w:noProof/>
            <w:webHidden/>
          </w:rPr>
          <w:fldChar w:fldCharType="begin"/>
        </w:r>
        <w:r w:rsidR="00B87ED2">
          <w:rPr>
            <w:noProof/>
            <w:webHidden/>
          </w:rPr>
          <w:instrText xml:space="preserve"> PAGEREF _Toc353436443 \h </w:instrText>
        </w:r>
        <w:r w:rsidR="00B87ED2">
          <w:rPr>
            <w:noProof/>
            <w:webHidden/>
          </w:rPr>
        </w:r>
        <w:r w:rsidR="00B87ED2">
          <w:rPr>
            <w:noProof/>
            <w:webHidden/>
          </w:rPr>
          <w:fldChar w:fldCharType="separate"/>
        </w:r>
        <w:r w:rsidR="00E21297">
          <w:rPr>
            <w:noProof/>
            <w:webHidden/>
          </w:rPr>
          <w:t>3</w:t>
        </w:r>
        <w:r w:rsidR="00B87ED2">
          <w:rPr>
            <w:noProof/>
            <w:webHidden/>
          </w:rPr>
          <w:fldChar w:fldCharType="end"/>
        </w:r>
      </w:hyperlink>
    </w:p>
    <w:p w14:paraId="3DF9C084" w14:textId="77777777" w:rsidR="00B87ED2" w:rsidRDefault="00C71EEB">
      <w:pPr>
        <w:pStyle w:val="TOC3"/>
        <w:tabs>
          <w:tab w:val="right" w:leader="dot" w:pos="8296"/>
        </w:tabs>
        <w:rPr>
          <w:rFonts w:asciiTheme="minorHAnsi" w:eastAsiaTheme="minorEastAsia" w:hAnsiTheme="minorHAnsi" w:cstheme="minorBidi"/>
          <w:noProof/>
          <w:sz w:val="22"/>
          <w:szCs w:val="22"/>
        </w:rPr>
      </w:pPr>
      <w:hyperlink w:anchor="_Toc353436444" w:history="1">
        <w:r w:rsidR="00B87ED2" w:rsidRPr="0012511E">
          <w:rPr>
            <w:rStyle w:val="Hyperlink"/>
            <w:rFonts w:ascii="Calibri" w:hAnsi="Calibri"/>
            <w:noProof/>
          </w:rPr>
          <w:t>Guideline 2 – Strategic plan</w:t>
        </w:r>
        <w:r w:rsidR="00B87ED2">
          <w:rPr>
            <w:noProof/>
            <w:webHidden/>
          </w:rPr>
          <w:tab/>
        </w:r>
        <w:r w:rsidR="00B87ED2">
          <w:rPr>
            <w:noProof/>
            <w:webHidden/>
          </w:rPr>
          <w:fldChar w:fldCharType="begin"/>
        </w:r>
        <w:r w:rsidR="00B87ED2">
          <w:rPr>
            <w:noProof/>
            <w:webHidden/>
          </w:rPr>
          <w:instrText xml:space="preserve"> PAGEREF _Toc353436444 \h </w:instrText>
        </w:r>
        <w:r w:rsidR="00B87ED2">
          <w:rPr>
            <w:noProof/>
            <w:webHidden/>
          </w:rPr>
        </w:r>
        <w:r w:rsidR="00B87ED2">
          <w:rPr>
            <w:noProof/>
            <w:webHidden/>
          </w:rPr>
          <w:fldChar w:fldCharType="separate"/>
        </w:r>
        <w:r w:rsidR="00E21297">
          <w:rPr>
            <w:noProof/>
            <w:webHidden/>
          </w:rPr>
          <w:t>5</w:t>
        </w:r>
        <w:r w:rsidR="00B87ED2">
          <w:rPr>
            <w:noProof/>
            <w:webHidden/>
          </w:rPr>
          <w:fldChar w:fldCharType="end"/>
        </w:r>
      </w:hyperlink>
    </w:p>
    <w:p w14:paraId="315B5A3A" w14:textId="77777777" w:rsidR="00B87ED2" w:rsidRDefault="00C71EEB">
      <w:pPr>
        <w:pStyle w:val="TOC3"/>
        <w:tabs>
          <w:tab w:val="right" w:leader="dot" w:pos="8296"/>
        </w:tabs>
        <w:rPr>
          <w:rFonts w:asciiTheme="minorHAnsi" w:eastAsiaTheme="minorEastAsia" w:hAnsiTheme="minorHAnsi" w:cstheme="minorBidi"/>
          <w:noProof/>
          <w:sz w:val="22"/>
          <w:szCs w:val="22"/>
        </w:rPr>
      </w:pPr>
      <w:hyperlink w:anchor="_Toc353436445" w:history="1">
        <w:r w:rsidR="00B87ED2" w:rsidRPr="0012511E">
          <w:rPr>
            <w:rStyle w:val="Hyperlink"/>
            <w:rFonts w:ascii="Calibri" w:hAnsi="Calibri"/>
            <w:noProof/>
          </w:rPr>
          <w:t>Guideline 3 – Annual statement of corporate intent</w:t>
        </w:r>
        <w:r w:rsidR="00B87ED2">
          <w:rPr>
            <w:noProof/>
            <w:webHidden/>
          </w:rPr>
          <w:tab/>
        </w:r>
        <w:r w:rsidR="00B87ED2">
          <w:rPr>
            <w:noProof/>
            <w:webHidden/>
          </w:rPr>
          <w:fldChar w:fldCharType="begin"/>
        </w:r>
        <w:r w:rsidR="00B87ED2">
          <w:rPr>
            <w:noProof/>
            <w:webHidden/>
          </w:rPr>
          <w:instrText xml:space="preserve"> PAGEREF _Toc353436445 \h </w:instrText>
        </w:r>
        <w:r w:rsidR="00B87ED2">
          <w:rPr>
            <w:noProof/>
            <w:webHidden/>
          </w:rPr>
        </w:r>
        <w:r w:rsidR="00B87ED2">
          <w:rPr>
            <w:noProof/>
            <w:webHidden/>
          </w:rPr>
          <w:fldChar w:fldCharType="separate"/>
        </w:r>
        <w:r w:rsidR="00E21297">
          <w:rPr>
            <w:noProof/>
            <w:webHidden/>
          </w:rPr>
          <w:t>8</w:t>
        </w:r>
        <w:r w:rsidR="00B87ED2">
          <w:rPr>
            <w:noProof/>
            <w:webHidden/>
          </w:rPr>
          <w:fldChar w:fldCharType="end"/>
        </w:r>
      </w:hyperlink>
    </w:p>
    <w:p w14:paraId="18A1277C" w14:textId="77777777" w:rsidR="00B87ED2" w:rsidRDefault="00C71EEB">
      <w:pPr>
        <w:pStyle w:val="TOC3"/>
        <w:tabs>
          <w:tab w:val="right" w:leader="dot" w:pos="8296"/>
        </w:tabs>
        <w:rPr>
          <w:rFonts w:asciiTheme="minorHAnsi" w:eastAsiaTheme="minorEastAsia" w:hAnsiTheme="minorHAnsi" w:cstheme="minorBidi"/>
          <w:noProof/>
          <w:sz w:val="22"/>
          <w:szCs w:val="22"/>
        </w:rPr>
      </w:pPr>
      <w:hyperlink w:anchor="_Toc353436446" w:history="1">
        <w:r w:rsidR="00B87ED2" w:rsidRPr="0012511E">
          <w:rPr>
            <w:rStyle w:val="Hyperlink"/>
            <w:rFonts w:ascii="Calibri" w:hAnsi="Calibri"/>
            <w:noProof/>
          </w:rPr>
          <w:t>Guideline 4 – Business Plan</w:t>
        </w:r>
        <w:r w:rsidR="00B87ED2">
          <w:rPr>
            <w:noProof/>
            <w:webHidden/>
          </w:rPr>
          <w:tab/>
        </w:r>
        <w:r w:rsidR="00B87ED2">
          <w:rPr>
            <w:noProof/>
            <w:webHidden/>
          </w:rPr>
          <w:fldChar w:fldCharType="begin"/>
        </w:r>
        <w:r w:rsidR="00B87ED2">
          <w:rPr>
            <w:noProof/>
            <w:webHidden/>
          </w:rPr>
          <w:instrText xml:space="preserve"> PAGEREF _Toc353436446 \h </w:instrText>
        </w:r>
        <w:r w:rsidR="00B87ED2">
          <w:rPr>
            <w:noProof/>
            <w:webHidden/>
          </w:rPr>
        </w:r>
        <w:r w:rsidR="00B87ED2">
          <w:rPr>
            <w:noProof/>
            <w:webHidden/>
          </w:rPr>
          <w:fldChar w:fldCharType="separate"/>
        </w:r>
        <w:r w:rsidR="00E21297">
          <w:rPr>
            <w:noProof/>
            <w:webHidden/>
          </w:rPr>
          <w:t>9</w:t>
        </w:r>
        <w:r w:rsidR="00B87ED2">
          <w:rPr>
            <w:noProof/>
            <w:webHidden/>
          </w:rPr>
          <w:fldChar w:fldCharType="end"/>
        </w:r>
      </w:hyperlink>
    </w:p>
    <w:p w14:paraId="79746D4D" w14:textId="77777777" w:rsidR="00B87ED2" w:rsidRDefault="00C71EEB">
      <w:pPr>
        <w:pStyle w:val="TOC3"/>
        <w:tabs>
          <w:tab w:val="right" w:leader="dot" w:pos="8296"/>
        </w:tabs>
        <w:rPr>
          <w:rFonts w:asciiTheme="minorHAnsi" w:eastAsiaTheme="minorEastAsia" w:hAnsiTheme="minorHAnsi" w:cstheme="minorBidi"/>
          <w:noProof/>
          <w:sz w:val="22"/>
          <w:szCs w:val="22"/>
        </w:rPr>
      </w:pPr>
      <w:hyperlink w:anchor="_Toc353436447" w:history="1">
        <w:r w:rsidR="00B87ED2" w:rsidRPr="0012511E">
          <w:rPr>
            <w:rStyle w:val="Hyperlink"/>
            <w:rFonts w:ascii="Calibri" w:hAnsi="Calibri"/>
            <w:noProof/>
          </w:rPr>
          <w:t>Guideline 5 – Monitoring and reporting by the TAFE Institute and Board</w:t>
        </w:r>
        <w:r w:rsidR="00B87ED2">
          <w:rPr>
            <w:noProof/>
            <w:webHidden/>
          </w:rPr>
          <w:tab/>
        </w:r>
        <w:r w:rsidR="00B87ED2">
          <w:rPr>
            <w:noProof/>
            <w:webHidden/>
          </w:rPr>
          <w:fldChar w:fldCharType="begin"/>
        </w:r>
        <w:r w:rsidR="00B87ED2">
          <w:rPr>
            <w:noProof/>
            <w:webHidden/>
          </w:rPr>
          <w:instrText xml:space="preserve"> PAGEREF _Toc353436447 \h </w:instrText>
        </w:r>
        <w:r w:rsidR="00B87ED2">
          <w:rPr>
            <w:noProof/>
            <w:webHidden/>
          </w:rPr>
        </w:r>
        <w:r w:rsidR="00B87ED2">
          <w:rPr>
            <w:noProof/>
            <w:webHidden/>
          </w:rPr>
          <w:fldChar w:fldCharType="separate"/>
        </w:r>
        <w:r w:rsidR="00E21297">
          <w:rPr>
            <w:noProof/>
            <w:webHidden/>
          </w:rPr>
          <w:t>10</w:t>
        </w:r>
        <w:r w:rsidR="00B87ED2">
          <w:rPr>
            <w:noProof/>
            <w:webHidden/>
          </w:rPr>
          <w:fldChar w:fldCharType="end"/>
        </w:r>
      </w:hyperlink>
    </w:p>
    <w:p w14:paraId="02921817" w14:textId="77777777" w:rsidR="00B87ED2" w:rsidRDefault="00C71EEB">
      <w:pPr>
        <w:pStyle w:val="TOC3"/>
        <w:tabs>
          <w:tab w:val="right" w:leader="dot" w:pos="8296"/>
        </w:tabs>
        <w:rPr>
          <w:rFonts w:asciiTheme="minorHAnsi" w:eastAsiaTheme="minorEastAsia" w:hAnsiTheme="minorHAnsi" w:cstheme="minorBidi"/>
          <w:noProof/>
          <w:sz w:val="22"/>
          <w:szCs w:val="22"/>
        </w:rPr>
      </w:pPr>
      <w:hyperlink w:anchor="_Toc353436448" w:history="1">
        <w:r w:rsidR="00B87ED2" w:rsidRPr="0012511E">
          <w:rPr>
            <w:rStyle w:val="Hyperlink"/>
            <w:rFonts w:ascii="Calibri" w:hAnsi="Calibri"/>
            <w:noProof/>
          </w:rPr>
          <w:t>Guideline 6 – Annual Report</w:t>
        </w:r>
        <w:r w:rsidR="00B87ED2">
          <w:rPr>
            <w:noProof/>
            <w:webHidden/>
          </w:rPr>
          <w:tab/>
        </w:r>
        <w:r w:rsidR="00B87ED2">
          <w:rPr>
            <w:noProof/>
            <w:webHidden/>
          </w:rPr>
          <w:fldChar w:fldCharType="begin"/>
        </w:r>
        <w:r w:rsidR="00B87ED2">
          <w:rPr>
            <w:noProof/>
            <w:webHidden/>
          </w:rPr>
          <w:instrText xml:space="preserve"> PAGEREF _Toc353436448 \h </w:instrText>
        </w:r>
        <w:r w:rsidR="00B87ED2">
          <w:rPr>
            <w:noProof/>
            <w:webHidden/>
          </w:rPr>
        </w:r>
        <w:r w:rsidR="00B87ED2">
          <w:rPr>
            <w:noProof/>
            <w:webHidden/>
          </w:rPr>
          <w:fldChar w:fldCharType="separate"/>
        </w:r>
        <w:r w:rsidR="00E21297">
          <w:rPr>
            <w:noProof/>
            <w:webHidden/>
          </w:rPr>
          <w:t>12</w:t>
        </w:r>
        <w:r w:rsidR="00B87ED2">
          <w:rPr>
            <w:noProof/>
            <w:webHidden/>
          </w:rPr>
          <w:fldChar w:fldCharType="end"/>
        </w:r>
      </w:hyperlink>
    </w:p>
    <w:p w14:paraId="39B2DA3C" w14:textId="77777777" w:rsidR="00B87ED2" w:rsidRDefault="00C71EEB">
      <w:pPr>
        <w:pStyle w:val="TOC3"/>
        <w:tabs>
          <w:tab w:val="right" w:leader="dot" w:pos="8296"/>
        </w:tabs>
        <w:rPr>
          <w:rFonts w:asciiTheme="minorHAnsi" w:eastAsiaTheme="minorEastAsia" w:hAnsiTheme="minorHAnsi" w:cstheme="minorBidi"/>
          <w:noProof/>
          <w:sz w:val="22"/>
          <w:szCs w:val="22"/>
        </w:rPr>
      </w:pPr>
      <w:hyperlink w:anchor="_Toc353436449" w:history="1">
        <w:r w:rsidR="00B87ED2" w:rsidRPr="0012511E">
          <w:rPr>
            <w:rStyle w:val="Hyperlink"/>
            <w:rFonts w:ascii="Calibri" w:hAnsi="Calibri"/>
            <w:noProof/>
          </w:rPr>
          <w:t>Guideline 7 – Monitoring by the Minister and Department</w:t>
        </w:r>
        <w:r w:rsidR="00B87ED2">
          <w:rPr>
            <w:noProof/>
            <w:webHidden/>
          </w:rPr>
          <w:tab/>
        </w:r>
        <w:r w:rsidR="00B87ED2">
          <w:rPr>
            <w:noProof/>
            <w:webHidden/>
          </w:rPr>
          <w:fldChar w:fldCharType="begin"/>
        </w:r>
        <w:r w:rsidR="00B87ED2">
          <w:rPr>
            <w:noProof/>
            <w:webHidden/>
          </w:rPr>
          <w:instrText xml:space="preserve"> PAGEREF _Toc353436449 \h </w:instrText>
        </w:r>
        <w:r w:rsidR="00B87ED2">
          <w:rPr>
            <w:noProof/>
            <w:webHidden/>
          </w:rPr>
        </w:r>
        <w:r w:rsidR="00B87ED2">
          <w:rPr>
            <w:noProof/>
            <w:webHidden/>
          </w:rPr>
          <w:fldChar w:fldCharType="separate"/>
        </w:r>
        <w:r w:rsidR="00E21297">
          <w:rPr>
            <w:noProof/>
            <w:webHidden/>
          </w:rPr>
          <w:t>13</w:t>
        </w:r>
        <w:r w:rsidR="00B87ED2">
          <w:rPr>
            <w:noProof/>
            <w:webHidden/>
          </w:rPr>
          <w:fldChar w:fldCharType="end"/>
        </w:r>
      </w:hyperlink>
    </w:p>
    <w:p w14:paraId="1D6B0C43" w14:textId="77777777" w:rsidR="00B87ED2" w:rsidRDefault="00C71EEB">
      <w:pPr>
        <w:pStyle w:val="TOC3"/>
        <w:tabs>
          <w:tab w:val="right" w:leader="dot" w:pos="8296"/>
        </w:tabs>
        <w:rPr>
          <w:rFonts w:asciiTheme="minorHAnsi" w:eastAsiaTheme="minorEastAsia" w:hAnsiTheme="minorHAnsi" w:cstheme="minorBidi"/>
          <w:noProof/>
          <w:sz w:val="22"/>
          <w:szCs w:val="22"/>
        </w:rPr>
      </w:pPr>
      <w:hyperlink w:anchor="_Toc353436450" w:history="1">
        <w:r w:rsidR="00B87ED2" w:rsidRPr="0012511E">
          <w:rPr>
            <w:rStyle w:val="Hyperlink"/>
            <w:rFonts w:ascii="Calibri" w:hAnsi="Calibri"/>
            <w:noProof/>
          </w:rPr>
          <w:t>Guideline 8 – Annual return</w:t>
        </w:r>
        <w:r w:rsidR="00B87ED2">
          <w:rPr>
            <w:noProof/>
            <w:webHidden/>
          </w:rPr>
          <w:tab/>
        </w:r>
        <w:r w:rsidR="00B87ED2">
          <w:rPr>
            <w:noProof/>
            <w:webHidden/>
          </w:rPr>
          <w:fldChar w:fldCharType="begin"/>
        </w:r>
        <w:r w:rsidR="00B87ED2">
          <w:rPr>
            <w:noProof/>
            <w:webHidden/>
          </w:rPr>
          <w:instrText xml:space="preserve"> PAGEREF _Toc353436450 \h </w:instrText>
        </w:r>
        <w:r w:rsidR="00B87ED2">
          <w:rPr>
            <w:noProof/>
            <w:webHidden/>
          </w:rPr>
        </w:r>
        <w:r w:rsidR="00B87ED2">
          <w:rPr>
            <w:noProof/>
            <w:webHidden/>
          </w:rPr>
          <w:fldChar w:fldCharType="separate"/>
        </w:r>
        <w:r w:rsidR="00E21297">
          <w:rPr>
            <w:noProof/>
            <w:webHidden/>
          </w:rPr>
          <w:t>15</w:t>
        </w:r>
        <w:r w:rsidR="00B87ED2">
          <w:rPr>
            <w:noProof/>
            <w:webHidden/>
          </w:rPr>
          <w:fldChar w:fldCharType="end"/>
        </w:r>
      </w:hyperlink>
    </w:p>
    <w:p w14:paraId="2EC2365D" w14:textId="77777777" w:rsidR="00B87ED2" w:rsidRDefault="00C71EEB">
      <w:pPr>
        <w:pStyle w:val="TOC3"/>
        <w:tabs>
          <w:tab w:val="right" w:leader="dot" w:pos="8296"/>
        </w:tabs>
        <w:rPr>
          <w:rFonts w:asciiTheme="minorHAnsi" w:eastAsiaTheme="minorEastAsia" w:hAnsiTheme="minorHAnsi" w:cstheme="minorBidi"/>
          <w:noProof/>
          <w:sz w:val="22"/>
          <w:szCs w:val="22"/>
        </w:rPr>
      </w:pPr>
      <w:hyperlink w:anchor="_Toc353436451" w:history="1">
        <w:r w:rsidR="00B87ED2" w:rsidRPr="0012511E">
          <w:rPr>
            <w:rStyle w:val="Hyperlink"/>
            <w:rFonts w:ascii="Calibri" w:hAnsi="Calibri"/>
            <w:noProof/>
          </w:rPr>
          <w:t>Guideline 9 – Compliance plan</w:t>
        </w:r>
        <w:r w:rsidR="00B87ED2">
          <w:rPr>
            <w:noProof/>
            <w:webHidden/>
          </w:rPr>
          <w:tab/>
        </w:r>
        <w:r w:rsidR="00B87ED2">
          <w:rPr>
            <w:noProof/>
            <w:webHidden/>
          </w:rPr>
          <w:fldChar w:fldCharType="begin"/>
        </w:r>
        <w:r w:rsidR="00B87ED2">
          <w:rPr>
            <w:noProof/>
            <w:webHidden/>
          </w:rPr>
          <w:instrText xml:space="preserve"> PAGEREF _Toc353436451 \h </w:instrText>
        </w:r>
        <w:r w:rsidR="00B87ED2">
          <w:rPr>
            <w:noProof/>
            <w:webHidden/>
          </w:rPr>
        </w:r>
        <w:r w:rsidR="00B87ED2">
          <w:rPr>
            <w:noProof/>
            <w:webHidden/>
          </w:rPr>
          <w:fldChar w:fldCharType="separate"/>
        </w:r>
        <w:r w:rsidR="00E21297">
          <w:rPr>
            <w:noProof/>
            <w:webHidden/>
          </w:rPr>
          <w:t>17</w:t>
        </w:r>
        <w:r w:rsidR="00B87ED2">
          <w:rPr>
            <w:noProof/>
            <w:webHidden/>
          </w:rPr>
          <w:fldChar w:fldCharType="end"/>
        </w:r>
      </w:hyperlink>
    </w:p>
    <w:p w14:paraId="6BAC6752" w14:textId="77777777" w:rsidR="00B87ED2" w:rsidRDefault="00C71EEB">
      <w:pPr>
        <w:pStyle w:val="TOC3"/>
        <w:tabs>
          <w:tab w:val="right" w:leader="dot" w:pos="8296"/>
        </w:tabs>
        <w:rPr>
          <w:rFonts w:asciiTheme="minorHAnsi" w:eastAsiaTheme="minorEastAsia" w:hAnsiTheme="minorHAnsi" w:cstheme="minorBidi"/>
          <w:noProof/>
          <w:sz w:val="22"/>
          <w:szCs w:val="22"/>
        </w:rPr>
      </w:pPr>
      <w:hyperlink w:anchor="_Toc353436452" w:history="1">
        <w:r w:rsidR="00B87ED2" w:rsidRPr="0012511E">
          <w:rPr>
            <w:rStyle w:val="Hyperlink"/>
            <w:rFonts w:ascii="Calibri" w:hAnsi="Calibri"/>
            <w:noProof/>
          </w:rPr>
          <w:t>Guideline 10 – Asset management plan</w:t>
        </w:r>
        <w:r w:rsidR="00B87ED2">
          <w:rPr>
            <w:noProof/>
            <w:webHidden/>
          </w:rPr>
          <w:tab/>
        </w:r>
        <w:r w:rsidR="00B87ED2">
          <w:rPr>
            <w:noProof/>
            <w:webHidden/>
          </w:rPr>
          <w:fldChar w:fldCharType="begin"/>
        </w:r>
        <w:r w:rsidR="00B87ED2">
          <w:rPr>
            <w:noProof/>
            <w:webHidden/>
          </w:rPr>
          <w:instrText xml:space="preserve"> PAGEREF _Toc353436452 \h </w:instrText>
        </w:r>
        <w:r w:rsidR="00B87ED2">
          <w:rPr>
            <w:noProof/>
            <w:webHidden/>
          </w:rPr>
        </w:r>
        <w:r w:rsidR="00B87ED2">
          <w:rPr>
            <w:noProof/>
            <w:webHidden/>
          </w:rPr>
          <w:fldChar w:fldCharType="separate"/>
        </w:r>
        <w:r w:rsidR="00E21297">
          <w:rPr>
            <w:noProof/>
            <w:webHidden/>
          </w:rPr>
          <w:t>18</w:t>
        </w:r>
        <w:r w:rsidR="00B87ED2">
          <w:rPr>
            <w:noProof/>
            <w:webHidden/>
          </w:rPr>
          <w:fldChar w:fldCharType="end"/>
        </w:r>
      </w:hyperlink>
    </w:p>
    <w:p w14:paraId="70BC3012" w14:textId="77777777" w:rsidR="007774B3" w:rsidRPr="00085850" w:rsidRDefault="001054D1">
      <w:pPr>
        <w:rPr>
          <w:rFonts w:asciiTheme="minorHAnsi" w:hAnsiTheme="minorHAnsi"/>
          <w:b/>
          <w:bCs/>
          <w:noProof/>
        </w:rPr>
        <w:sectPr w:rsidR="007774B3" w:rsidRPr="00085850" w:rsidSect="007774B3">
          <w:headerReference w:type="even" r:id="rId11"/>
          <w:headerReference w:type="default" r:id="rId12"/>
          <w:footerReference w:type="even" r:id="rId13"/>
          <w:footerReference w:type="default" r:id="rId14"/>
          <w:headerReference w:type="first" r:id="rId15"/>
          <w:pgSz w:w="11906" w:h="16838"/>
          <w:pgMar w:top="1440" w:right="1800" w:bottom="1440" w:left="1800" w:header="708" w:footer="708" w:gutter="0"/>
          <w:pgNumType w:fmt="lowerRoman"/>
          <w:cols w:space="708"/>
          <w:docGrid w:linePitch="360"/>
        </w:sectPr>
      </w:pPr>
      <w:r w:rsidRPr="00085850">
        <w:rPr>
          <w:rFonts w:asciiTheme="minorHAnsi" w:hAnsiTheme="minorHAnsi"/>
          <w:b/>
          <w:bCs/>
          <w:noProof/>
        </w:rPr>
        <w:fldChar w:fldCharType="end"/>
      </w:r>
    </w:p>
    <w:p w14:paraId="7E8D11CE" w14:textId="77777777" w:rsidR="0097680A" w:rsidRPr="008A2346" w:rsidRDefault="0097680A" w:rsidP="00506BED">
      <w:pPr>
        <w:pStyle w:val="Heading3"/>
        <w:rPr>
          <w:rFonts w:ascii="Calibri" w:hAnsi="Calibri"/>
        </w:rPr>
      </w:pPr>
      <w:bookmarkStart w:id="2" w:name="_Toc340830047"/>
      <w:bookmarkStart w:id="3" w:name="_Toc343609449"/>
      <w:bookmarkStart w:id="4" w:name="_Toc353436438"/>
      <w:r>
        <w:rPr>
          <w:rFonts w:ascii="Calibri" w:hAnsi="Calibri"/>
        </w:rPr>
        <w:lastRenderedPageBreak/>
        <w:t>Authorising provisions</w:t>
      </w:r>
      <w:bookmarkEnd w:id="2"/>
      <w:bookmarkEnd w:id="3"/>
      <w:bookmarkEnd w:id="4"/>
    </w:p>
    <w:p w14:paraId="04F10200" w14:textId="77777777" w:rsidR="001F0FD4" w:rsidRPr="008A2346" w:rsidRDefault="001F0FD4" w:rsidP="001F0FD4">
      <w:pPr>
        <w:rPr>
          <w:rFonts w:ascii="Calibri" w:hAnsi="Calibri"/>
        </w:rPr>
      </w:pPr>
    </w:p>
    <w:p w14:paraId="2CE67EB6" w14:textId="77777777" w:rsidR="001F0FD4" w:rsidRPr="008A2346" w:rsidRDefault="001F0FD4" w:rsidP="009E7845">
      <w:pPr>
        <w:numPr>
          <w:ilvl w:val="0"/>
          <w:numId w:val="5"/>
        </w:numPr>
        <w:rPr>
          <w:rFonts w:ascii="Calibri" w:hAnsi="Calibri"/>
        </w:rPr>
      </w:pPr>
      <w:r w:rsidRPr="008A2346">
        <w:rPr>
          <w:rFonts w:ascii="Calibri" w:hAnsi="Calibri"/>
        </w:rPr>
        <w:t>These Guidelines</w:t>
      </w:r>
      <w:r w:rsidR="00347FFC">
        <w:rPr>
          <w:rFonts w:ascii="Calibri" w:hAnsi="Calibri"/>
        </w:rPr>
        <w:t xml:space="preserve"> –</w:t>
      </w:r>
    </w:p>
    <w:p w14:paraId="2197D540" w14:textId="77777777" w:rsidR="00F57D58" w:rsidRPr="008A2346" w:rsidRDefault="00F57D58" w:rsidP="001F0FD4">
      <w:pPr>
        <w:ind w:left="360"/>
        <w:rPr>
          <w:rFonts w:ascii="Calibri" w:hAnsi="Calibri"/>
        </w:rPr>
      </w:pPr>
    </w:p>
    <w:p w14:paraId="58DCB684" w14:textId="77777777" w:rsidR="00F57D58" w:rsidRPr="008A2346" w:rsidRDefault="001F0FD4" w:rsidP="009E7845">
      <w:pPr>
        <w:numPr>
          <w:ilvl w:val="0"/>
          <w:numId w:val="1"/>
        </w:numPr>
        <w:ind w:hanging="731"/>
        <w:rPr>
          <w:rFonts w:ascii="Calibri" w:hAnsi="Calibri"/>
        </w:rPr>
      </w:pPr>
      <w:r w:rsidRPr="008A2346">
        <w:rPr>
          <w:rFonts w:ascii="Calibri" w:hAnsi="Calibri"/>
        </w:rPr>
        <w:t xml:space="preserve">are </w:t>
      </w:r>
      <w:r w:rsidR="009C6B2A" w:rsidRPr="008A2346">
        <w:rPr>
          <w:rFonts w:ascii="Calibri" w:hAnsi="Calibri"/>
        </w:rPr>
        <w:t>issued</w:t>
      </w:r>
      <w:r w:rsidRPr="008A2346">
        <w:rPr>
          <w:rFonts w:ascii="Calibri" w:hAnsi="Calibri"/>
        </w:rPr>
        <w:t xml:space="preserve"> pursuant to section </w:t>
      </w:r>
      <w:r w:rsidR="00F57D58" w:rsidRPr="008A2346">
        <w:rPr>
          <w:rFonts w:ascii="Calibri" w:hAnsi="Calibri"/>
        </w:rPr>
        <w:t xml:space="preserve">5.2.1(2)(b) of the </w:t>
      </w:r>
      <w:r w:rsidR="00F57D58" w:rsidRPr="00085850">
        <w:rPr>
          <w:rFonts w:ascii="Calibri" w:hAnsi="Calibri"/>
          <w:b/>
        </w:rPr>
        <w:t>Education and Training Reform Act 2006</w:t>
      </w:r>
      <w:r w:rsidR="00F57D58" w:rsidRPr="008A2346">
        <w:rPr>
          <w:rFonts w:ascii="Calibri" w:hAnsi="Calibri"/>
        </w:rPr>
        <w:t xml:space="preserve"> </w:t>
      </w:r>
      <w:r w:rsidR="00E2015C">
        <w:rPr>
          <w:rFonts w:ascii="Calibri" w:hAnsi="Calibri"/>
        </w:rPr>
        <w:t>(</w:t>
      </w:r>
      <w:r w:rsidR="00E2015C" w:rsidRPr="004E22B3">
        <w:rPr>
          <w:rFonts w:ascii="Calibri" w:hAnsi="Calibri"/>
        </w:rPr>
        <w:t>the Act</w:t>
      </w:r>
      <w:r w:rsidR="00E2015C">
        <w:rPr>
          <w:rFonts w:ascii="Calibri" w:hAnsi="Calibri"/>
        </w:rPr>
        <w:t>)</w:t>
      </w:r>
      <w:r w:rsidR="00F57D58" w:rsidRPr="008A2346">
        <w:rPr>
          <w:rFonts w:ascii="Calibri" w:hAnsi="Calibri"/>
        </w:rPr>
        <w:t>;</w:t>
      </w:r>
      <w:r w:rsidR="009C6B2A" w:rsidRPr="008A2346">
        <w:rPr>
          <w:rFonts w:ascii="Calibri" w:hAnsi="Calibri"/>
        </w:rPr>
        <w:t xml:space="preserve"> and</w:t>
      </w:r>
    </w:p>
    <w:p w14:paraId="2652BD9F" w14:textId="77777777" w:rsidR="009C6B2A" w:rsidRPr="008A2346" w:rsidRDefault="009C6B2A" w:rsidP="009D3969">
      <w:pPr>
        <w:ind w:left="360" w:hanging="731"/>
        <w:rPr>
          <w:rFonts w:ascii="Calibri" w:hAnsi="Calibri"/>
        </w:rPr>
      </w:pPr>
    </w:p>
    <w:p w14:paraId="4F41442B" w14:textId="77777777" w:rsidR="009C6B2A" w:rsidRPr="008A2346" w:rsidRDefault="009C6B2A" w:rsidP="009E7845">
      <w:pPr>
        <w:numPr>
          <w:ilvl w:val="0"/>
          <w:numId w:val="1"/>
        </w:numPr>
        <w:ind w:hanging="731"/>
        <w:rPr>
          <w:rFonts w:ascii="Calibri" w:hAnsi="Calibri"/>
        </w:rPr>
      </w:pPr>
      <w:proofErr w:type="gramStart"/>
      <w:r w:rsidRPr="008A2346">
        <w:rPr>
          <w:rFonts w:ascii="Calibri" w:hAnsi="Calibri"/>
        </w:rPr>
        <w:t>must</w:t>
      </w:r>
      <w:proofErr w:type="gramEnd"/>
      <w:r w:rsidRPr="008A2346">
        <w:rPr>
          <w:rFonts w:ascii="Calibri" w:hAnsi="Calibri"/>
        </w:rPr>
        <w:t xml:space="preserve"> be complied with by </w:t>
      </w:r>
      <w:r w:rsidR="008131E4">
        <w:rPr>
          <w:rFonts w:ascii="Calibri" w:hAnsi="Calibri"/>
        </w:rPr>
        <w:t xml:space="preserve">TAFE </w:t>
      </w:r>
      <w:r w:rsidRPr="008A2346">
        <w:rPr>
          <w:rFonts w:ascii="Calibri" w:hAnsi="Calibri"/>
        </w:rPr>
        <w:t>institut</w:t>
      </w:r>
      <w:r w:rsidR="00BB7585">
        <w:rPr>
          <w:rFonts w:ascii="Calibri" w:hAnsi="Calibri"/>
        </w:rPr>
        <w:t>e</w:t>
      </w:r>
      <w:r w:rsidR="00E958ED" w:rsidRPr="008A2346">
        <w:rPr>
          <w:rFonts w:ascii="Calibri" w:hAnsi="Calibri"/>
        </w:rPr>
        <w:t>s</w:t>
      </w:r>
      <w:r w:rsidRPr="008A2346">
        <w:rPr>
          <w:rFonts w:ascii="Calibri" w:hAnsi="Calibri"/>
        </w:rPr>
        <w:t xml:space="preserve"> pursuant to section</w:t>
      </w:r>
      <w:r w:rsidR="00DB71FE">
        <w:rPr>
          <w:rFonts w:ascii="Calibri" w:hAnsi="Calibri"/>
        </w:rPr>
        <w:t xml:space="preserve">s </w:t>
      </w:r>
      <w:r w:rsidR="004B206B">
        <w:rPr>
          <w:rFonts w:ascii="Calibri" w:hAnsi="Calibri"/>
        </w:rPr>
        <w:t xml:space="preserve">3.1.18A(2) and </w:t>
      </w:r>
      <w:r w:rsidRPr="008A2346">
        <w:rPr>
          <w:rFonts w:ascii="Calibri" w:hAnsi="Calibri"/>
        </w:rPr>
        <w:t xml:space="preserve">5.2.1(3)(a) </w:t>
      </w:r>
      <w:r w:rsidR="00664EEB" w:rsidRPr="008A2346">
        <w:rPr>
          <w:rFonts w:ascii="Calibri" w:hAnsi="Calibri"/>
        </w:rPr>
        <w:t>of the Act.</w:t>
      </w:r>
    </w:p>
    <w:p w14:paraId="15E1036F" w14:textId="77777777" w:rsidR="00D50D86" w:rsidRPr="008A2346" w:rsidRDefault="00D50D86" w:rsidP="00F57D58">
      <w:pPr>
        <w:ind w:left="360"/>
        <w:rPr>
          <w:rFonts w:ascii="Calibri" w:hAnsi="Calibri"/>
        </w:rPr>
      </w:pPr>
    </w:p>
    <w:p w14:paraId="744D7CAF" w14:textId="77777777" w:rsidR="00664EEB" w:rsidRPr="008A2346" w:rsidRDefault="00664EEB" w:rsidP="00506BED">
      <w:pPr>
        <w:pStyle w:val="Heading3"/>
        <w:rPr>
          <w:rFonts w:ascii="Calibri" w:hAnsi="Calibri"/>
        </w:rPr>
      </w:pPr>
      <w:bookmarkStart w:id="5" w:name="_Purpose"/>
      <w:bookmarkStart w:id="6" w:name="_Toc340830048"/>
      <w:bookmarkStart w:id="7" w:name="_Toc343609450"/>
      <w:bookmarkStart w:id="8" w:name="_Toc353436439"/>
      <w:bookmarkEnd w:id="5"/>
      <w:r w:rsidRPr="008A2346">
        <w:rPr>
          <w:rFonts w:ascii="Calibri" w:hAnsi="Calibri"/>
        </w:rPr>
        <w:t>Purpose</w:t>
      </w:r>
      <w:bookmarkEnd w:id="6"/>
      <w:bookmarkEnd w:id="7"/>
      <w:bookmarkEnd w:id="8"/>
    </w:p>
    <w:p w14:paraId="5BB52ABA" w14:textId="77777777" w:rsidR="00664EEB" w:rsidRPr="008A2346" w:rsidRDefault="00664EEB" w:rsidP="00664EEB">
      <w:pPr>
        <w:ind w:left="1080"/>
        <w:rPr>
          <w:rFonts w:ascii="Calibri" w:hAnsi="Calibri"/>
        </w:rPr>
      </w:pPr>
    </w:p>
    <w:p w14:paraId="503503CD" w14:textId="469C4564" w:rsidR="00F825C3" w:rsidRDefault="00F825C3" w:rsidP="009E7845">
      <w:pPr>
        <w:numPr>
          <w:ilvl w:val="0"/>
          <w:numId w:val="5"/>
        </w:numPr>
        <w:rPr>
          <w:rFonts w:ascii="Calibri" w:hAnsi="Calibri"/>
        </w:rPr>
      </w:pPr>
      <w:r>
        <w:rPr>
          <w:rFonts w:ascii="Calibri" w:hAnsi="Calibri"/>
        </w:rPr>
        <w:t xml:space="preserve">The Guidelines provide direction and advice to TAFE institutes about the content, process, endorsement and key dates associated with </w:t>
      </w:r>
      <w:r w:rsidR="00347FFC">
        <w:rPr>
          <w:rFonts w:ascii="Calibri" w:hAnsi="Calibri"/>
        </w:rPr>
        <w:t xml:space="preserve">monitoring </w:t>
      </w:r>
      <w:r>
        <w:rPr>
          <w:rFonts w:ascii="Calibri" w:hAnsi="Calibri"/>
        </w:rPr>
        <w:t>and reporting obligations to the Minister and Department</w:t>
      </w:r>
      <w:r w:rsidR="00347FFC">
        <w:rPr>
          <w:rFonts w:ascii="Calibri" w:hAnsi="Calibri"/>
        </w:rPr>
        <w:t>, and additional obligations relating to a compliance plan and asset management plan</w:t>
      </w:r>
      <w:r>
        <w:rPr>
          <w:rFonts w:ascii="Calibri" w:hAnsi="Calibri"/>
        </w:rPr>
        <w:t>.</w:t>
      </w:r>
    </w:p>
    <w:p w14:paraId="1CDFAE56" w14:textId="77777777" w:rsidR="00F825C3" w:rsidRPr="008A2346" w:rsidRDefault="00F825C3" w:rsidP="00F825C3">
      <w:pPr>
        <w:ind w:left="720"/>
        <w:rPr>
          <w:rFonts w:ascii="Calibri" w:hAnsi="Calibri"/>
        </w:rPr>
      </w:pPr>
    </w:p>
    <w:p w14:paraId="4C2FCB12" w14:textId="0ED9FB4B" w:rsidR="007A0C23" w:rsidRDefault="00EC7FAB" w:rsidP="009E7845">
      <w:pPr>
        <w:numPr>
          <w:ilvl w:val="0"/>
          <w:numId w:val="5"/>
        </w:numPr>
        <w:rPr>
          <w:rFonts w:ascii="Calibri" w:hAnsi="Calibri"/>
        </w:rPr>
      </w:pPr>
      <w:r w:rsidRPr="008A2346">
        <w:rPr>
          <w:rFonts w:ascii="Calibri" w:hAnsi="Calibri"/>
        </w:rPr>
        <w:t xml:space="preserve">The Guidelines </w:t>
      </w:r>
      <w:r w:rsidR="004B206B">
        <w:rPr>
          <w:rFonts w:ascii="Calibri" w:hAnsi="Calibri"/>
        </w:rPr>
        <w:t xml:space="preserve">outline the strategic planning and performance reporting obligations </w:t>
      </w:r>
      <w:r w:rsidR="006234A2">
        <w:rPr>
          <w:rFonts w:ascii="Calibri" w:hAnsi="Calibri"/>
        </w:rPr>
        <w:t xml:space="preserve">of </w:t>
      </w:r>
      <w:r w:rsidR="004B206B">
        <w:rPr>
          <w:rFonts w:ascii="Calibri" w:hAnsi="Calibri"/>
        </w:rPr>
        <w:t>TAFE institute</w:t>
      </w:r>
      <w:r w:rsidR="00F825C3">
        <w:rPr>
          <w:rFonts w:ascii="Calibri" w:hAnsi="Calibri"/>
        </w:rPr>
        <w:t>s</w:t>
      </w:r>
      <w:r w:rsidRPr="008A2346">
        <w:rPr>
          <w:rFonts w:ascii="Calibri" w:hAnsi="Calibri"/>
        </w:rPr>
        <w:t xml:space="preserve">, in order </w:t>
      </w:r>
      <w:r w:rsidR="000A4965">
        <w:rPr>
          <w:rFonts w:ascii="Calibri" w:hAnsi="Calibri"/>
        </w:rPr>
        <w:t xml:space="preserve">for the Minister and Treasurer to effectively </w:t>
      </w:r>
      <w:r w:rsidR="00A00C95">
        <w:rPr>
          <w:rFonts w:ascii="Calibri" w:hAnsi="Calibri"/>
        </w:rPr>
        <w:t xml:space="preserve">monitor and review </w:t>
      </w:r>
      <w:r w:rsidR="000A4965">
        <w:rPr>
          <w:rFonts w:ascii="Calibri" w:hAnsi="Calibri"/>
        </w:rPr>
        <w:t xml:space="preserve">the performance of the TAFE institutes and for the Department to provide advice </w:t>
      </w:r>
      <w:r w:rsidRPr="008A2346">
        <w:rPr>
          <w:rFonts w:ascii="Calibri" w:hAnsi="Calibri"/>
        </w:rPr>
        <w:t xml:space="preserve">to </w:t>
      </w:r>
      <w:r w:rsidR="000A4965">
        <w:rPr>
          <w:rFonts w:ascii="Calibri" w:hAnsi="Calibri"/>
        </w:rPr>
        <w:t xml:space="preserve">the Minister and Treasurer </w:t>
      </w:r>
      <w:r w:rsidR="000508A0">
        <w:rPr>
          <w:rFonts w:ascii="Calibri" w:hAnsi="Calibri"/>
        </w:rPr>
        <w:t>i</w:t>
      </w:r>
      <w:r w:rsidR="000A4965">
        <w:rPr>
          <w:rFonts w:ascii="Calibri" w:hAnsi="Calibri"/>
        </w:rPr>
        <w:t>n a timely</w:t>
      </w:r>
      <w:r w:rsidR="000508A0">
        <w:rPr>
          <w:rFonts w:ascii="Calibri" w:hAnsi="Calibri"/>
        </w:rPr>
        <w:t xml:space="preserve"> manner</w:t>
      </w:r>
      <w:r w:rsidR="000A4965">
        <w:rPr>
          <w:rFonts w:ascii="Calibri" w:hAnsi="Calibri"/>
        </w:rPr>
        <w:t>.</w:t>
      </w:r>
    </w:p>
    <w:p w14:paraId="608E435C" w14:textId="77777777" w:rsidR="00D50D86" w:rsidRPr="008A2346" w:rsidRDefault="00D50D86" w:rsidP="0097680A">
      <w:pPr>
        <w:rPr>
          <w:rFonts w:ascii="Calibri" w:hAnsi="Calibri"/>
        </w:rPr>
      </w:pPr>
    </w:p>
    <w:p w14:paraId="4CBB07BF" w14:textId="77777777" w:rsidR="00664EEB" w:rsidRPr="008A2346" w:rsidRDefault="00664EEB" w:rsidP="00506BED">
      <w:pPr>
        <w:pStyle w:val="Heading3"/>
        <w:rPr>
          <w:rFonts w:ascii="Calibri" w:hAnsi="Calibri"/>
        </w:rPr>
      </w:pPr>
      <w:bookmarkStart w:id="9" w:name="_Commencement"/>
      <w:bookmarkStart w:id="10" w:name="_Toc340830049"/>
      <w:bookmarkStart w:id="11" w:name="_Toc343609451"/>
      <w:bookmarkStart w:id="12" w:name="_Toc353436440"/>
      <w:bookmarkEnd w:id="9"/>
      <w:r w:rsidRPr="008A2346">
        <w:rPr>
          <w:rFonts w:ascii="Calibri" w:hAnsi="Calibri"/>
        </w:rPr>
        <w:t>Commencement</w:t>
      </w:r>
      <w:bookmarkEnd w:id="10"/>
      <w:bookmarkEnd w:id="11"/>
      <w:bookmarkEnd w:id="12"/>
    </w:p>
    <w:p w14:paraId="3E2516BC" w14:textId="77777777" w:rsidR="00664EEB" w:rsidRPr="008A2346" w:rsidRDefault="00664EEB" w:rsidP="00664EEB">
      <w:pPr>
        <w:ind w:left="1080"/>
        <w:rPr>
          <w:rFonts w:ascii="Calibri" w:hAnsi="Calibri"/>
        </w:rPr>
      </w:pPr>
    </w:p>
    <w:p w14:paraId="2FE5F6CD" w14:textId="77777777" w:rsidR="00664EEB" w:rsidRDefault="00664EEB" w:rsidP="009E7845">
      <w:pPr>
        <w:numPr>
          <w:ilvl w:val="0"/>
          <w:numId w:val="5"/>
        </w:numPr>
        <w:rPr>
          <w:rFonts w:ascii="Calibri" w:hAnsi="Calibri"/>
        </w:rPr>
      </w:pPr>
      <w:r w:rsidRPr="008A2346">
        <w:rPr>
          <w:rFonts w:ascii="Calibri" w:hAnsi="Calibri"/>
        </w:rPr>
        <w:t>These Guidelines take effect on the date of their publication in the Government Gazette.</w:t>
      </w:r>
    </w:p>
    <w:p w14:paraId="2439DB69" w14:textId="77777777" w:rsidR="00A07251" w:rsidRDefault="00A07251" w:rsidP="00506BED">
      <w:pPr>
        <w:pStyle w:val="Heading3"/>
        <w:rPr>
          <w:rFonts w:ascii="Calibri" w:hAnsi="Calibri"/>
        </w:rPr>
      </w:pPr>
      <w:bookmarkStart w:id="13" w:name="_Application_of_other"/>
      <w:bookmarkEnd w:id="13"/>
    </w:p>
    <w:p w14:paraId="5AA302D1" w14:textId="77777777" w:rsidR="00664EEB" w:rsidRPr="008A2346" w:rsidRDefault="00664EEB" w:rsidP="00506BED">
      <w:pPr>
        <w:pStyle w:val="Heading3"/>
        <w:rPr>
          <w:rFonts w:ascii="Calibri" w:hAnsi="Calibri"/>
        </w:rPr>
      </w:pPr>
      <w:bookmarkStart w:id="14" w:name="_Toc340830050"/>
      <w:bookmarkStart w:id="15" w:name="_Toc343609452"/>
      <w:bookmarkStart w:id="16" w:name="_Toc353436441"/>
      <w:r w:rsidRPr="008A2346">
        <w:rPr>
          <w:rFonts w:ascii="Calibri" w:hAnsi="Calibri"/>
        </w:rPr>
        <w:t>Application of other laws</w:t>
      </w:r>
      <w:bookmarkEnd w:id="14"/>
      <w:bookmarkEnd w:id="15"/>
      <w:bookmarkEnd w:id="16"/>
    </w:p>
    <w:p w14:paraId="3AAFE431" w14:textId="77777777" w:rsidR="00664EEB" w:rsidRPr="008A2346" w:rsidRDefault="00664EEB" w:rsidP="00664EEB">
      <w:pPr>
        <w:ind w:left="1080"/>
        <w:rPr>
          <w:rFonts w:ascii="Calibri" w:hAnsi="Calibri"/>
        </w:rPr>
      </w:pPr>
    </w:p>
    <w:p w14:paraId="08D20498" w14:textId="77777777" w:rsidR="00664EEB" w:rsidRPr="00A63251" w:rsidRDefault="00664EEB" w:rsidP="009E7845">
      <w:pPr>
        <w:numPr>
          <w:ilvl w:val="0"/>
          <w:numId w:val="5"/>
        </w:numPr>
        <w:rPr>
          <w:rFonts w:ascii="Calibri" w:hAnsi="Calibri"/>
        </w:rPr>
      </w:pPr>
      <w:r w:rsidRPr="00A63251">
        <w:rPr>
          <w:rFonts w:ascii="Calibri" w:hAnsi="Calibri"/>
        </w:rPr>
        <w:t>These Guidelines</w:t>
      </w:r>
      <w:r w:rsidR="00A63251" w:rsidRPr="00A63251">
        <w:rPr>
          <w:rFonts w:ascii="Calibri" w:hAnsi="Calibri"/>
        </w:rPr>
        <w:t xml:space="preserve"> </w:t>
      </w:r>
      <w:r w:rsidRPr="00A63251">
        <w:rPr>
          <w:rFonts w:ascii="Calibri" w:hAnsi="Calibri"/>
        </w:rPr>
        <w:t>are subject to</w:t>
      </w:r>
      <w:r w:rsidR="00A63251" w:rsidRPr="00A63251">
        <w:rPr>
          <w:rFonts w:ascii="Calibri" w:hAnsi="Calibri"/>
        </w:rPr>
        <w:t xml:space="preserve"> – </w:t>
      </w:r>
    </w:p>
    <w:p w14:paraId="7C06F80F" w14:textId="77777777" w:rsidR="00664EEB" w:rsidRPr="008A2346" w:rsidRDefault="00664EEB" w:rsidP="00664EEB">
      <w:pPr>
        <w:ind w:left="1440"/>
        <w:rPr>
          <w:rFonts w:ascii="Calibri" w:hAnsi="Calibri"/>
        </w:rPr>
      </w:pPr>
    </w:p>
    <w:p w14:paraId="3267442C" w14:textId="77777777" w:rsidR="00664EEB" w:rsidRPr="00085850" w:rsidRDefault="00E958ED" w:rsidP="009E7845">
      <w:pPr>
        <w:numPr>
          <w:ilvl w:val="0"/>
          <w:numId w:val="2"/>
        </w:numPr>
        <w:tabs>
          <w:tab w:val="num" w:pos="1418"/>
        </w:tabs>
        <w:ind w:left="1418" w:hanging="709"/>
        <w:rPr>
          <w:rFonts w:ascii="Calibri" w:hAnsi="Calibri"/>
          <w:b/>
        </w:rPr>
      </w:pPr>
      <w:r w:rsidRPr="008A2346">
        <w:rPr>
          <w:rFonts w:ascii="Calibri" w:hAnsi="Calibri"/>
        </w:rPr>
        <w:t xml:space="preserve">the </w:t>
      </w:r>
      <w:r w:rsidRPr="00085850">
        <w:rPr>
          <w:rFonts w:ascii="Calibri" w:hAnsi="Calibri"/>
          <w:b/>
        </w:rPr>
        <w:t>Education and Training Reform Act 2006</w:t>
      </w:r>
      <w:r w:rsidR="00EC7FAB" w:rsidRPr="00085850">
        <w:rPr>
          <w:rFonts w:ascii="Calibri" w:hAnsi="Calibri"/>
          <w:b/>
        </w:rPr>
        <w:t>;</w:t>
      </w:r>
    </w:p>
    <w:p w14:paraId="3EAF150A" w14:textId="77777777" w:rsidR="00EC7FAB" w:rsidRPr="008A2346" w:rsidRDefault="00EC7FAB" w:rsidP="009D3969">
      <w:pPr>
        <w:tabs>
          <w:tab w:val="num" w:pos="1418"/>
        </w:tabs>
        <w:ind w:left="1418" w:hanging="709"/>
        <w:rPr>
          <w:rFonts w:ascii="Calibri" w:hAnsi="Calibri"/>
        </w:rPr>
      </w:pPr>
    </w:p>
    <w:p w14:paraId="5DC6FE4B" w14:textId="77777777" w:rsidR="00E958ED" w:rsidRPr="00523698" w:rsidRDefault="00E958ED" w:rsidP="009E7845">
      <w:pPr>
        <w:numPr>
          <w:ilvl w:val="0"/>
          <w:numId w:val="2"/>
        </w:numPr>
        <w:tabs>
          <w:tab w:val="num" w:pos="1418"/>
        </w:tabs>
        <w:ind w:left="1418" w:hanging="709"/>
        <w:rPr>
          <w:rFonts w:ascii="Calibri" w:hAnsi="Calibri"/>
        </w:rPr>
      </w:pPr>
      <w:r w:rsidRPr="00523698">
        <w:rPr>
          <w:rFonts w:ascii="Calibri" w:hAnsi="Calibri"/>
        </w:rPr>
        <w:t xml:space="preserve">the </w:t>
      </w:r>
      <w:r w:rsidR="00C235C2" w:rsidRPr="00523698">
        <w:rPr>
          <w:rFonts w:ascii="Calibri" w:hAnsi="Calibri"/>
        </w:rPr>
        <w:t>provisions of, and any directions or regulations under</w:t>
      </w:r>
      <w:r w:rsidR="009A68E7" w:rsidRPr="00523698">
        <w:rPr>
          <w:rFonts w:ascii="Calibri" w:hAnsi="Calibri"/>
        </w:rPr>
        <w:t>,</w:t>
      </w:r>
      <w:r w:rsidR="00C235C2" w:rsidRPr="00523698">
        <w:rPr>
          <w:rFonts w:ascii="Calibri" w:hAnsi="Calibri"/>
        </w:rPr>
        <w:t xml:space="preserve"> the </w:t>
      </w:r>
      <w:r w:rsidRPr="00085850">
        <w:rPr>
          <w:rFonts w:ascii="Calibri" w:hAnsi="Calibri"/>
          <w:b/>
        </w:rPr>
        <w:t>Financial Management Act 1994</w:t>
      </w:r>
      <w:r w:rsidR="00C235C2" w:rsidRPr="00523698">
        <w:rPr>
          <w:rFonts w:ascii="Calibri" w:hAnsi="Calibri"/>
        </w:rPr>
        <w:t xml:space="preserve"> that apply to the TAFE</w:t>
      </w:r>
      <w:r w:rsidR="00D57DF8" w:rsidRPr="00523698">
        <w:rPr>
          <w:rFonts w:ascii="Calibri" w:hAnsi="Calibri"/>
        </w:rPr>
        <w:t xml:space="preserve"> </w:t>
      </w:r>
      <w:r w:rsidR="007A4046" w:rsidRPr="00523698">
        <w:rPr>
          <w:rFonts w:ascii="Calibri" w:hAnsi="Calibri"/>
        </w:rPr>
        <w:t>institutes</w:t>
      </w:r>
      <w:r w:rsidRPr="00523698">
        <w:rPr>
          <w:rFonts w:ascii="Calibri" w:hAnsi="Calibri"/>
        </w:rPr>
        <w:t>;</w:t>
      </w:r>
      <w:r w:rsidR="00523698">
        <w:rPr>
          <w:rFonts w:ascii="Calibri" w:hAnsi="Calibri"/>
        </w:rPr>
        <w:t xml:space="preserve"> and</w:t>
      </w:r>
    </w:p>
    <w:p w14:paraId="36165F09" w14:textId="77777777" w:rsidR="00EC7FAB" w:rsidRPr="000508A0" w:rsidRDefault="00EC7FAB" w:rsidP="009D3969">
      <w:pPr>
        <w:tabs>
          <w:tab w:val="num" w:pos="1418"/>
        </w:tabs>
        <w:ind w:left="1418" w:hanging="709"/>
        <w:rPr>
          <w:rFonts w:ascii="Calibri" w:hAnsi="Calibri"/>
          <w:highlight w:val="yellow"/>
        </w:rPr>
      </w:pPr>
    </w:p>
    <w:p w14:paraId="1348A34E" w14:textId="77777777" w:rsidR="00E958ED" w:rsidRDefault="00C235C2" w:rsidP="009E7845">
      <w:pPr>
        <w:numPr>
          <w:ilvl w:val="0"/>
          <w:numId w:val="2"/>
        </w:numPr>
        <w:tabs>
          <w:tab w:val="num" w:pos="1418"/>
        </w:tabs>
        <w:ind w:left="1418" w:hanging="709"/>
        <w:rPr>
          <w:rFonts w:ascii="Calibri" w:hAnsi="Calibri"/>
        </w:rPr>
      </w:pPr>
      <w:proofErr w:type="gramStart"/>
      <w:r w:rsidRPr="008A2346">
        <w:rPr>
          <w:rFonts w:ascii="Calibri" w:hAnsi="Calibri"/>
        </w:rPr>
        <w:t>other</w:t>
      </w:r>
      <w:proofErr w:type="gramEnd"/>
      <w:r w:rsidRPr="008A2346">
        <w:rPr>
          <w:rFonts w:ascii="Calibri" w:hAnsi="Calibri"/>
        </w:rPr>
        <w:t xml:space="preserve"> Acts</w:t>
      </w:r>
      <w:r w:rsidR="009A68E7">
        <w:rPr>
          <w:rFonts w:ascii="Calibri" w:hAnsi="Calibri"/>
        </w:rPr>
        <w:t>, laws</w:t>
      </w:r>
      <w:r w:rsidRPr="008A2346">
        <w:rPr>
          <w:rFonts w:ascii="Calibri" w:hAnsi="Calibri"/>
        </w:rPr>
        <w:t xml:space="preserve"> or </w:t>
      </w:r>
      <w:r w:rsidR="009A68E7">
        <w:rPr>
          <w:rFonts w:ascii="Calibri" w:hAnsi="Calibri"/>
        </w:rPr>
        <w:t xml:space="preserve">subordinate instruments </w:t>
      </w:r>
      <w:r w:rsidRPr="008A2346">
        <w:rPr>
          <w:rFonts w:ascii="Calibri" w:hAnsi="Calibri"/>
        </w:rPr>
        <w:t>that apply to the TAFE</w:t>
      </w:r>
      <w:r w:rsidR="00D57DF8">
        <w:rPr>
          <w:rFonts w:ascii="Calibri" w:hAnsi="Calibri"/>
        </w:rPr>
        <w:t xml:space="preserve"> </w:t>
      </w:r>
      <w:r w:rsidR="007A4046" w:rsidRPr="008A2346">
        <w:rPr>
          <w:rFonts w:ascii="Calibri" w:hAnsi="Calibri"/>
        </w:rPr>
        <w:t>institut</w:t>
      </w:r>
      <w:r w:rsidR="007A4046">
        <w:rPr>
          <w:rFonts w:ascii="Calibri" w:hAnsi="Calibri"/>
        </w:rPr>
        <w:t>e</w:t>
      </w:r>
      <w:r w:rsidR="007A4046" w:rsidRPr="008A2346">
        <w:rPr>
          <w:rFonts w:ascii="Calibri" w:hAnsi="Calibri"/>
        </w:rPr>
        <w:t>s</w:t>
      </w:r>
      <w:r w:rsidRPr="008A2346">
        <w:rPr>
          <w:rFonts w:ascii="Calibri" w:hAnsi="Calibri"/>
        </w:rPr>
        <w:t>.</w:t>
      </w:r>
    </w:p>
    <w:p w14:paraId="64ADA24D" w14:textId="77777777" w:rsidR="00BF5D5A" w:rsidRDefault="00BF5D5A" w:rsidP="009D3969">
      <w:pPr>
        <w:tabs>
          <w:tab w:val="num" w:pos="1418"/>
        </w:tabs>
        <w:ind w:left="1418" w:hanging="709"/>
        <w:rPr>
          <w:rFonts w:ascii="Calibri" w:hAnsi="Calibri"/>
        </w:rPr>
      </w:pPr>
    </w:p>
    <w:p w14:paraId="7438624D" w14:textId="77777777" w:rsidR="00C235C2" w:rsidRPr="008A2346" w:rsidRDefault="00C235C2" w:rsidP="00C8345E">
      <w:pPr>
        <w:pStyle w:val="Heading3"/>
        <w:rPr>
          <w:rFonts w:ascii="Calibri" w:hAnsi="Calibri"/>
        </w:rPr>
      </w:pPr>
      <w:bookmarkStart w:id="17" w:name="_Definitions"/>
      <w:bookmarkStart w:id="18" w:name="_Toc340830051"/>
      <w:bookmarkStart w:id="19" w:name="_Toc343609453"/>
      <w:bookmarkStart w:id="20" w:name="_Toc353436442"/>
      <w:bookmarkEnd w:id="17"/>
      <w:r w:rsidRPr="008A2346">
        <w:rPr>
          <w:rFonts w:ascii="Calibri" w:hAnsi="Calibri"/>
        </w:rPr>
        <w:lastRenderedPageBreak/>
        <w:t>Definitions</w:t>
      </w:r>
      <w:bookmarkEnd w:id="18"/>
      <w:bookmarkEnd w:id="19"/>
      <w:bookmarkEnd w:id="20"/>
    </w:p>
    <w:p w14:paraId="32200741" w14:textId="77777777" w:rsidR="00C235C2" w:rsidRPr="008A2346" w:rsidRDefault="00C235C2" w:rsidP="00C8345E">
      <w:pPr>
        <w:keepNext/>
        <w:ind w:left="360"/>
        <w:rPr>
          <w:rFonts w:ascii="Calibri" w:hAnsi="Calibri"/>
        </w:rPr>
      </w:pPr>
    </w:p>
    <w:p w14:paraId="11C31604" w14:textId="77777777" w:rsidR="00C235C2" w:rsidRPr="008A2346" w:rsidRDefault="00C235C2" w:rsidP="009E7845">
      <w:pPr>
        <w:numPr>
          <w:ilvl w:val="0"/>
          <w:numId w:val="5"/>
        </w:numPr>
        <w:rPr>
          <w:rFonts w:ascii="Calibri" w:hAnsi="Calibri"/>
        </w:rPr>
      </w:pPr>
      <w:r w:rsidRPr="008A2346">
        <w:rPr>
          <w:rFonts w:ascii="Calibri" w:hAnsi="Calibri"/>
        </w:rPr>
        <w:t xml:space="preserve">Words or expressions defined in the Act have the same meaning for the purposes of these Guidelines. In these Guidelines, unless the contrary intention appears – </w:t>
      </w:r>
    </w:p>
    <w:p w14:paraId="04306349" w14:textId="77777777" w:rsidR="00C235C2" w:rsidRDefault="004607F9" w:rsidP="004607F9">
      <w:pPr>
        <w:rPr>
          <w:rFonts w:ascii="Calibri" w:hAnsi="Calibri"/>
        </w:rPr>
      </w:pPr>
      <w:r>
        <w:rPr>
          <w:rFonts w:ascii="Calibri" w:hAnsi="Calibri"/>
        </w:rPr>
        <w:tab/>
      </w:r>
    </w:p>
    <w:p w14:paraId="4F5D941A" w14:textId="77777777" w:rsidR="004607F9" w:rsidRDefault="004607F9" w:rsidP="004607F9">
      <w:pPr>
        <w:rPr>
          <w:rFonts w:ascii="Calibri" w:hAnsi="Calibri"/>
          <w:i/>
        </w:rPr>
      </w:pPr>
      <w:r>
        <w:rPr>
          <w:rFonts w:ascii="Calibri" w:hAnsi="Calibri"/>
        </w:rPr>
        <w:tab/>
      </w:r>
      <w:r w:rsidRPr="004607F9">
        <w:rPr>
          <w:rFonts w:ascii="Calibri" w:hAnsi="Calibri"/>
          <w:b/>
        </w:rPr>
        <w:t>Act</w:t>
      </w:r>
      <w:r>
        <w:rPr>
          <w:rFonts w:ascii="Calibri" w:hAnsi="Calibri"/>
        </w:rPr>
        <w:t xml:space="preserve"> means </w:t>
      </w:r>
      <w:r w:rsidRPr="008A2346">
        <w:rPr>
          <w:rFonts w:ascii="Calibri" w:hAnsi="Calibri"/>
        </w:rPr>
        <w:t xml:space="preserve">the </w:t>
      </w:r>
      <w:r w:rsidRPr="006234A2">
        <w:rPr>
          <w:rFonts w:ascii="Calibri" w:hAnsi="Calibri"/>
          <w:b/>
        </w:rPr>
        <w:t>Education and Training Reform Act 2006</w:t>
      </w:r>
      <w:r w:rsidR="00F61D2B">
        <w:rPr>
          <w:rFonts w:ascii="Calibri" w:hAnsi="Calibri"/>
          <w:i/>
        </w:rPr>
        <w:t>;</w:t>
      </w:r>
    </w:p>
    <w:p w14:paraId="54078635" w14:textId="77777777" w:rsidR="003F7846" w:rsidRDefault="003F7846" w:rsidP="004607F9">
      <w:pPr>
        <w:rPr>
          <w:rFonts w:ascii="Calibri" w:hAnsi="Calibri"/>
          <w:i/>
        </w:rPr>
      </w:pPr>
    </w:p>
    <w:p w14:paraId="76E9EC1A" w14:textId="77777777" w:rsidR="00690D1E" w:rsidRDefault="00732780" w:rsidP="00DA3AEC">
      <w:pPr>
        <w:ind w:left="720"/>
        <w:rPr>
          <w:rFonts w:ascii="Calibri" w:hAnsi="Calibri"/>
        </w:rPr>
      </w:pPr>
      <w:r>
        <w:rPr>
          <w:rFonts w:ascii="Calibri" w:hAnsi="Calibri"/>
          <w:b/>
        </w:rPr>
        <w:t xml:space="preserve">Annualised Full Time Equivalents </w:t>
      </w:r>
      <w:r>
        <w:rPr>
          <w:rFonts w:ascii="Calibri" w:hAnsi="Calibri"/>
        </w:rPr>
        <w:t xml:space="preserve">means </w:t>
      </w:r>
      <w:r w:rsidR="00690D1E">
        <w:rPr>
          <w:rFonts w:ascii="Calibri" w:hAnsi="Calibri"/>
        </w:rPr>
        <w:t>the average of the number of Full Time Equivalents at the end of each of the previous four quarters;</w:t>
      </w:r>
    </w:p>
    <w:p w14:paraId="23F1E839" w14:textId="77777777" w:rsidR="00690D1E" w:rsidRDefault="00690D1E" w:rsidP="00035C34">
      <w:pPr>
        <w:ind w:left="1418" w:right="1502"/>
        <w:rPr>
          <w:rFonts w:ascii="Calibri" w:hAnsi="Calibri"/>
          <w:b/>
        </w:rPr>
      </w:pPr>
    </w:p>
    <w:p w14:paraId="17B1691B" w14:textId="77777777" w:rsidR="00690D1E" w:rsidRPr="00035C34" w:rsidRDefault="00690D1E" w:rsidP="00035C34">
      <w:pPr>
        <w:ind w:left="1418" w:right="1502"/>
        <w:rPr>
          <w:rFonts w:ascii="Calibri" w:hAnsi="Calibri"/>
          <w:b/>
          <w:sz w:val="20"/>
          <w:szCs w:val="20"/>
        </w:rPr>
      </w:pPr>
      <w:r w:rsidRPr="00035C34">
        <w:rPr>
          <w:rFonts w:ascii="Calibri" w:hAnsi="Calibri"/>
          <w:b/>
          <w:sz w:val="20"/>
          <w:szCs w:val="20"/>
        </w:rPr>
        <w:t>Example</w:t>
      </w:r>
    </w:p>
    <w:p w14:paraId="3FB47426" w14:textId="64F1E8B0" w:rsidR="00732780" w:rsidRPr="00035C34" w:rsidRDefault="00690D1E" w:rsidP="00035C34">
      <w:pPr>
        <w:ind w:left="1418" w:right="1502"/>
        <w:rPr>
          <w:rFonts w:ascii="Calibri" w:hAnsi="Calibri"/>
          <w:sz w:val="20"/>
          <w:szCs w:val="20"/>
        </w:rPr>
      </w:pPr>
      <w:r w:rsidRPr="00035C34">
        <w:rPr>
          <w:rFonts w:ascii="Calibri" w:hAnsi="Calibri"/>
          <w:sz w:val="20"/>
          <w:szCs w:val="20"/>
        </w:rPr>
        <w:t>The annualised</w:t>
      </w:r>
      <w:r w:rsidRPr="00035C34">
        <w:rPr>
          <w:rFonts w:ascii="Calibri" w:hAnsi="Calibri"/>
          <w:b/>
          <w:sz w:val="20"/>
          <w:szCs w:val="20"/>
        </w:rPr>
        <w:t xml:space="preserve"> </w:t>
      </w:r>
      <w:r w:rsidRPr="00035C34">
        <w:rPr>
          <w:rFonts w:ascii="Calibri" w:hAnsi="Calibri"/>
          <w:sz w:val="20"/>
          <w:szCs w:val="20"/>
        </w:rPr>
        <w:t xml:space="preserve">Full Time Equivalents for December would be the sum of the number of Full </w:t>
      </w:r>
      <w:r w:rsidRPr="00690D1E">
        <w:rPr>
          <w:rFonts w:ascii="Calibri" w:hAnsi="Calibri"/>
          <w:sz w:val="20"/>
          <w:szCs w:val="20"/>
        </w:rPr>
        <w:t>Time</w:t>
      </w:r>
      <w:r w:rsidRPr="00035C34">
        <w:rPr>
          <w:rFonts w:ascii="Calibri" w:hAnsi="Calibri"/>
          <w:sz w:val="20"/>
          <w:szCs w:val="20"/>
        </w:rPr>
        <w:t xml:space="preserve"> Equivalents at </w:t>
      </w:r>
      <w:r w:rsidRPr="00690D1E">
        <w:rPr>
          <w:rFonts w:ascii="Calibri" w:hAnsi="Calibri"/>
          <w:sz w:val="20"/>
          <w:szCs w:val="20"/>
        </w:rPr>
        <w:t>the end</w:t>
      </w:r>
      <w:r w:rsidRPr="00035C34">
        <w:rPr>
          <w:rFonts w:ascii="Calibri" w:hAnsi="Calibri"/>
          <w:sz w:val="20"/>
          <w:szCs w:val="20"/>
        </w:rPr>
        <w:t xml:space="preserve"> of March, June, Septembe</w:t>
      </w:r>
      <w:r w:rsidR="006234A2">
        <w:rPr>
          <w:rFonts w:ascii="Calibri" w:hAnsi="Calibri"/>
          <w:sz w:val="20"/>
          <w:szCs w:val="20"/>
        </w:rPr>
        <w:t>r and December, divided by four</w:t>
      </w:r>
      <w:r w:rsidR="0032099D">
        <w:rPr>
          <w:rFonts w:ascii="Calibri" w:hAnsi="Calibri"/>
          <w:sz w:val="20"/>
          <w:szCs w:val="20"/>
        </w:rPr>
        <w:t>.</w:t>
      </w:r>
    </w:p>
    <w:p w14:paraId="08D8A7EE" w14:textId="77777777" w:rsidR="00732780" w:rsidRPr="00035C34" w:rsidRDefault="00732780" w:rsidP="00DA3AEC">
      <w:pPr>
        <w:ind w:left="720"/>
        <w:rPr>
          <w:rFonts w:ascii="Calibri" w:hAnsi="Calibri"/>
        </w:rPr>
      </w:pPr>
    </w:p>
    <w:p w14:paraId="7AAF0BEE" w14:textId="77777777" w:rsidR="00CE3EE1" w:rsidRPr="00CE3EE1" w:rsidRDefault="00CE3EE1" w:rsidP="00DA3AEC">
      <w:pPr>
        <w:ind w:left="720"/>
        <w:rPr>
          <w:rFonts w:ascii="Calibri" w:hAnsi="Calibri"/>
        </w:rPr>
      </w:pPr>
      <w:r>
        <w:rPr>
          <w:rFonts w:ascii="Calibri" w:hAnsi="Calibri"/>
          <w:b/>
        </w:rPr>
        <w:t xml:space="preserve">Board </w:t>
      </w:r>
      <w:r>
        <w:rPr>
          <w:rFonts w:ascii="Calibri" w:hAnsi="Calibri"/>
        </w:rPr>
        <w:t xml:space="preserve">means the </w:t>
      </w:r>
      <w:r w:rsidR="00F72074">
        <w:rPr>
          <w:rFonts w:ascii="Calibri" w:hAnsi="Calibri"/>
        </w:rPr>
        <w:t>B</w:t>
      </w:r>
      <w:r>
        <w:rPr>
          <w:rFonts w:ascii="Calibri" w:hAnsi="Calibri"/>
        </w:rPr>
        <w:t>oard of a TAFE institute established under the Act;</w:t>
      </w:r>
    </w:p>
    <w:p w14:paraId="2869ABB0" w14:textId="77777777" w:rsidR="00C235C2" w:rsidRDefault="00C235C2" w:rsidP="00C235C2">
      <w:pPr>
        <w:ind w:left="1080"/>
        <w:rPr>
          <w:rFonts w:ascii="Calibri" w:hAnsi="Calibri"/>
        </w:rPr>
      </w:pPr>
    </w:p>
    <w:p w14:paraId="78EC4D16" w14:textId="77777777" w:rsidR="00221332" w:rsidRDefault="00221332" w:rsidP="00221332">
      <w:pPr>
        <w:ind w:left="1134" w:hanging="425"/>
        <w:rPr>
          <w:rFonts w:ascii="Calibri" w:hAnsi="Calibri"/>
        </w:rPr>
      </w:pPr>
      <w:r w:rsidRPr="00221332">
        <w:rPr>
          <w:rFonts w:ascii="Calibri" w:hAnsi="Calibri"/>
          <w:b/>
        </w:rPr>
        <w:t>Board secretary</w:t>
      </w:r>
      <w:r>
        <w:rPr>
          <w:rFonts w:ascii="Calibri" w:hAnsi="Calibri"/>
        </w:rPr>
        <w:t xml:space="preserve"> means the board secretary appointed by the Board in accordance with the TAFE </w:t>
      </w:r>
      <w:r w:rsidR="00FC0F9D">
        <w:rPr>
          <w:rFonts w:ascii="Calibri" w:hAnsi="Calibri"/>
        </w:rPr>
        <w:t>i</w:t>
      </w:r>
      <w:r>
        <w:rPr>
          <w:rFonts w:ascii="Calibri" w:hAnsi="Calibri"/>
        </w:rPr>
        <w:t>nstitute’s Constitution;</w:t>
      </w:r>
    </w:p>
    <w:p w14:paraId="1C563024" w14:textId="77777777" w:rsidR="00DF50FE" w:rsidRDefault="00DF50FE" w:rsidP="00221332">
      <w:pPr>
        <w:ind w:left="1134" w:hanging="425"/>
        <w:rPr>
          <w:rFonts w:ascii="Calibri" w:hAnsi="Calibri"/>
        </w:rPr>
      </w:pPr>
    </w:p>
    <w:p w14:paraId="3181A554" w14:textId="77777777" w:rsidR="00DF50FE" w:rsidRPr="00035C34" w:rsidRDefault="00DF50FE" w:rsidP="00221332">
      <w:pPr>
        <w:ind w:left="1134" w:hanging="425"/>
        <w:rPr>
          <w:rFonts w:ascii="Calibri" w:hAnsi="Calibri"/>
          <w:b/>
        </w:rPr>
      </w:pPr>
      <w:r w:rsidRPr="00035C34">
        <w:rPr>
          <w:rFonts w:ascii="Calibri" w:hAnsi="Calibri"/>
          <w:b/>
        </w:rPr>
        <w:t xml:space="preserve">Compact </w:t>
      </w:r>
      <w:r w:rsidRPr="00E2458E">
        <w:rPr>
          <w:rFonts w:ascii="Calibri" w:hAnsi="Calibri"/>
        </w:rPr>
        <w:t xml:space="preserve">means </w:t>
      </w:r>
      <w:r w:rsidR="00E2458E">
        <w:rPr>
          <w:rFonts w:ascii="Calibri" w:hAnsi="Calibri"/>
        </w:rPr>
        <w:t xml:space="preserve">an </w:t>
      </w:r>
      <w:r w:rsidR="00E2458E" w:rsidRPr="00035C34">
        <w:rPr>
          <w:rFonts w:ascii="Calibri" w:hAnsi="Calibri"/>
        </w:rPr>
        <w:t>agreement between the Department and TAFE institutes that articulates the respective roles and responsibilities, particularly in relation to professional trust, autonomy and accountability</w:t>
      </w:r>
      <w:r w:rsidR="00B1387D">
        <w:rPr>
          <w:rFonts w:ascii="Calibri" w:hAnsi="Calibri"/>
        </w:rPr>
        <w:t>,</w:t>
      </w:r>
      <w:r w:rsidR="00E2458E" w:rsidRPr="00035C34">
        <w:rPr>
          <w:rFonts w:ascii="Calibri" w:hAnsi="Calibri"/>
        </w:rPr>
        <w:t xml:space="preserve"> and support</w:t>
      </w:r>
      <w:r w:rsidR="00E2458E">
        <w:rPr>
          <w:rFonts w:ascii="Calibri" w:hAnsi="Calibri"/>
          <w:b/>
        </w:rPr>
        <w:t>;</w:t>
      </w:r>
    </w:p>
    <w:p w14:paraId="55B04F98" w14:textId="77777777" w:rsidR="00B7679B" w:rsidRDefault="00B7679B" w:rsidP="00221332">
      <w:pPr>
        <w:ind w:left="1134" w:hanging="425"/>
        <w:rPr>
          <w:rFonts w:ascii="Calibri" w:hAnsi="Calibri"/>
        </w:rPr>
      </w:pPr>
    </w:p>
    <w:p w14:paraId="67EA7061" w14:textId="581AEA75" w:rsidR="00502C46" w:rsidRPr="00035C34" w:rsidRDefault="00502C46" w:rsidP="00221332">
      <w:pPr>
        <w:ind w:left="1134" w:hanging="425"/>
        <w:rPr>
          <w:rFonts w:ascii="Calibri" w:hAnsi="Calibri"/>
        </w:rPr>
      </w:pPr>
      <w:r>
        <w:rPr>
          <w:rFonts w:ascii="Calibri" w:hAnsi="Calibri"/>
          <w:b/>
        </w:rPr>
        <w:t>Department</w:t>
      </w:r>
      <w:r w:rsidR="001F30FE">
        <w:rPr>
          <w:rFonts w:ascii="Calibri" w:hAnsi="Calibri"/>
          <w:b/>
        </w:rPr>
        <w:t xml:space="preserve"> </w:t>
      </w:r>
      <w:r w:rsidR="001F30FE">
        <w:rPr>
          <w:rFonts w:ascii="Calibri" w:hAnsi="Calibri"/>
        </w:rPr>
        <w:t>has the meaning given in section 1.1.3(1) of the Act</w:t>
      </w:r>
      <w:r>
        <w:rPr>
          <w:rFonts w:ascii="Calibri" w:hAnsi="Calibri"/>
        </w:rPr>
        <w:t>;</w:t>
      </w:r>
    </w:p>
    <w:p w14:paraId="27E6243D" w14:textId="77777777" w:rsidR="00502C46" w:rsidRDefault="00502C46" w:rsidP="00221332">
      <w:pPr>
        <w:ind w:left="1134" w:hanging="425"/>
        <w:rPr>
          <w:rFonts w:ascii="Calibri" w:hAnsi="Calibri"/>
          <w:b/>
        </w:rPr>
      </w:pPr>
    </w:p>
    <w:p w14:paraId="4308FA52" w14:textId="77777777" w:rsidR="00B7679B" w:rsidRDefault="00B7679B" w:rsidP="00221332">
      <w:pPr>
        <w:ind w:left="1134" w:hanging="425"/>
        <w:rPr>
          <w:rFonts w:ascii="Calibri" w:hAnsi="Calibri"/>
        </w:rPr>
      </w:pPr>
      <w:r w:rsidRPr="00466416">
        <w:rPr>
          <w:rFonts w:ascii="Calibri" w:hAnsi="Calibri"/>
          <w:b/>
        </w:rPr>
        <w:t>Deputy Secretary</w:t>
      </w:r>
      <w:r>
        <w:rPr>
          <w:rFonts w:ascii="Calibri" w:hAnsi="Calibri"/>
        </w:rPr>
        <w:t xml:space="preserve"> </w:t>
      </w:r>
      <w:r w:rsidR="00466416">
        <w:rPr>
          <w:rFonts w:ascii="Calibri" w:hAnsi="Calibri"/>
        </w:rPr>
        <w:t>means the person for the time being holding, acting in or performing the duties of the Deputy Secretary, Higher Education and Skills Group within the Department, and if its name is changed, means the person for the time being holding, acting in or performing the duties of the Deputy Secretary of that part of the Department with responsibility for vocational education and training;</w:t>
      </w:r>
    </w:p>
    <w:p w14:paraId="4A78048A" w14:textId="77777777" w:rsidR="00221332" w:rsidRPr="008A2346" w:rsidRDefault="00221332" w:rsidP="00C235C2">
      <w:pPr>
        <w:ind w:left="1080"/>
        <w:rPr>
          <w:rFonts w:ascii="Calibri" w:hAnsi="Calibri"/>
        </w:rPr>
      </w:pPr>
    </w:p>
    <w:p w14:paraId="7952F96C" w14:textId="47C89436" w:rsidR="000F5E1B" w:rsidRPr="00224F1D" w:rsidRDefault="00420339" w:rsidP="00E47338">
      <w:pPr>
        <w:ind w:left="720"/>
        <w:rPr>
          <w:rFonts w:ascii="Calibri" w:hAnsi="Calibri"/>
        </w:rPr>
      </w:pPr>
      <w:r w:rsidRPr="00224F1D">
        <w:rPr>
          <w:rFonts w:ascii="Calibri" w:hAnsi="Calibri"/>
          <w:b/>
        </w:rPr>
        <w:t>Minister</w:t>
      </w:r>
      <w:r w:rsidRPr="00224F1D">
        <w:rPr>
          <w:rFonts w:ascii="Calibri" w:hAnsi="Calibri"/>
        </w:rPr>
        <w:t xml:space="preserve"> means the Minister respon</w:t>
      </w:r>
      <w:r w:rsidR="00A00C95">
        <w:rPr>
          <w:rFonts w:ascii="Calibri" w:hAnsi="Calibri"/>
        </w:rPr>
        <w:t>sible for administering the Act</w:t>
      </w:r>
      <w:r w:rsidR="00A63279">
        <w:rPr>
          <w:rFonts w:ascii="Calibri" w:hAnsi="Calibri"/>
        </w:rPr>
        <w:t>;</w:t>
      </w:r>
    </w:p>
    <w:p w14:paraId="7F379586" w14:textId="77777777" w:rsidR="00EB2FB8" w:rsidRDefault="00EB2FB8" w:rsidP="00E47338">
      <w:pPr>
        <w:ind w:left="720"/>
        <w:rPr>
          <w:rFonts w:ascii="Calibri" w:hAnsi="Calibri"/>
          <w:highlight w:val="yellow"/>
        </w:rPr>
      </w:pPr>
    </w:p>
    <w:p w14:paraId="12702819" w14:textId="77777777" w:rsidR="00C74E95" w:rsidRDefault="00A63279" w:rsidP="00035C34">
      <w:pPr>
        <w:ind w:left="1134" w:hanging="414"/>
        <w:rPr>
          <w:rFonts w:ascii="Calibri" w:hAnsi="Calibri"/>
        </w:rPr>
      </w:pPr>
      <w:r w:rsidRPr="00035C34">
        <w:rPr>
          <w:rFonts w:ascii="Calibri" w:hAnsi="Calibri"/>
          <w:b/>
        </w:rPr>
        <w:t xml:space="preserve">Performance Monitoring Framework </w:t>
      </w:r>
      <w:r w:rsidR="009A6D94">
        <w:rPr>
          <w:rFonts w:ascii="Calibri" w:hAnsi="Calibri"/>
        </w:rPr>
        <w:t>means a framework developed by the Department for monitoring the financial and non-financial performance of the TAFE institutes, by:</w:t>
      </w:r>
    </w:p>
    <w:p w14:paraId="73BF08A4" w14:textId="77777777" w:rsidR="00B923CE" w:rsidRDefault="00B923CE" w:rsidP="00035C34">
      <w:pPr>
        <w:ind w:left="1134" w:hanging="414"/>
        <w:rPr>
          <w:rFonts w:ascii="Calibri" w:hAnsi="Calibri"/>
        </w:rPr>
      </w:pPr>
    </w:p>
    <w:p w14:paraId="02BB7950" w14:textId="77777777" w:rsidR="00176BAD" w:rsidRDefault="00616FF3" w:rsidP="00035C34">
      <w:pPr>
        <w:numPr>
          <w:ilvl w:val="0"/>
          <w:numId w:val="27"/>
        </w:numPr>
        <w:tabs>
          <w:tab w:val="left" w:pos="1701"/>
        </w:tabs>
        <w:ind w:left="1701" w:hanging="567"/>
        <w:rPr>
          <w:rFonts w:ascii="Calibri" w:hAnsi="Calibri"/>
        </w:rPr>
      </w:pPr>
      <w:r>
        <w:rPr>
          <w:rFonts w:ascii="Calibri" w:hAnsi="Calibri"/>
        </w:rPr>
        <w:t>c</w:t>
      </w:r>
      <w:r w:rsidR="00176BAD" w:rsidRPr="007E30B1">
        <w:rPr>
          <w:rFonts w:ascii="Calibri" w:hAnsi="Calibri"/>
        </w:rPr>
        <w:t>omparing actual data against forecast data</w:t>
      </w:r>
      <w:r w:rsidR="00176BAD">
        <w:rPr>
          <w:rFonts w:ascii="Calibri" w:hAnsi="Calibri"/>
        </w:rPr>
        <w:t xml:space="preserve">; </w:t>
      </w:r>
    </w:p>
    <w:p w14:paraId="6D299DBE" w14:textId="77777777" w:rsidR="00176BAD" w:rsidRDefault="00616FF3" w:rsidP="00035C34">
      <w:pPr>
        <w:numPr>
          <w:ilvl w:val="0"/>
          <w:numId w:val="27"/>
        </w:numPr>
        <w:tabs>
          <w:tab w:val="left" w:pos="1701"/>
        </w:tabs>
        <w:ind w:left="1701" w:hanging="567"/>
        <w:rPr>
          <w:rFonts w:ascii="Calibri" w:hAnsi="Calibri"/>
        </w:rPr>
      </w:pPr>
      <w:r>
        <w:rPr>
          <w:rFonts w:ascii="Calibri" w:hAnsi="Calibri"/>
        </w:rPr>
        <w:t>c</w:t>
      </w:r>
      <w:r w:rsidR="00176BAD">
        <w:rPr>
          <w:rFonts w:ascii="Calibri" w:hAnsi="Calibri"/>
        </w:rPr>
        <w:t>omparing performance against measures over a period of time; and</w:t>
      </w:r>
    </w:p>
    <w:p w14:paraId="70957E41" w14:textId="77777777" w:rsidR="00176BAD" w:rsidRPr="007E30B1" w:rsidRDefault="00616FF3" w:rsidP="00035C34">
      <w:pPr>
        <w:numPr>
          <w:ilvl w:val="0"/>
          <w:numId w:val="27"/>
        </w:numPr>
        <w:tabs>
          <w:tab w:val="left" w:pos="1701"/>
        </w:tabs>
        <w:ind w:left="1701" w:hanging="567"/>
        <w:rPr>
          <w:rFonts w:ascii="Calibri" w:hAnsi="Calibri"/>
        </w:rPr>
      </w:pPr>
      <w:proofErr w:type="gramStart"/>
      <w:r>
        <w:rPr>
          <w:rFonts w:ascii="Calibri" w:hAnsi="Calibri"/>
        </w:rPr>
        <w:t>b</w:t>
      </w:r>
      <w:r w:rsidR="00176BAD">
        <w:rPr>
          <w:rFonts w:ascii="Calibri" w:hAnsi="Calibri"/>
        </w:rPr>
        <w:t>enchmarking</w:t>
      </w:r>
      <w:proofErr w:type="gramEnd"/>
      <w:r w:rsidR="00176BAD">
        <w:rPr>
          <w:rFonts w:ascii="Calibri" w:hAnsi="Calibri"/>
        </w:rPr>
        <w:t xml:space="preserve"> the performance of the TAFE institutes </w:t>
      </w:r>
      <w:r>
        <w:rPr>
          <w:rFonts w:ascii="Calibri" w:hAnsi="Calibri"/>
        </w:rPr>
        <w:t>against each other.</w:t>
      </w:r>
    </w:p>
    <w:p w14:paraId="16840A74" w14:textId="77777777" w:rsidR="00463E85" w:rsidRDefault="007B64C6" w:rsidP="00463E85">
      <w:pPr>
        <w:pStyle w:val="Heading3"/>
        <w:rPr>
          <w:rFonts w:ascii="Calibri" w:hAnsi="Calibri"/>
        </w:rPr>
      </w:pPr>
      <w:bookmarkStart w:id="21" w:name="_Guideline_1_–"/>
      <w:bookmarkEnd w:id="21"/>
      <w:r>
        <w:rPr>
          <w:rFonts w:ascii="Calibri" w:hAnsi="Calibri"/>
        </w:rPr>
        <w:br w:type="page"/>
      </w:r>
      <w:bookmarkStart w:id="22" w:name="_Toc343609433"/>
      <w:bookmarkStart w:id="23" w:name="_Toc353436443"/>
      <w:bookmarkStart w:id="24" w:name="_Toc340830052"/>
      <w:bookmarkStart w:id="25" w:name="_Toc343609454"/>
      <w:r w:rsidR="00463E85">
        <w:rPr>
          <w:rFonts w:ascii="Calibri" w:hAnsi="Calibri"/>
        </w:rPr>
        <w:lastRenderedPageBreak/>
        <w:t xml:space="preserve">Guideline 1 – Financial </w:t>
      </w:r>
      <w:r w:rsidR="008720E3">
        <w:rPr>
          <w:rFonts w:ascii="Calibri" w:hAnsi="Calibri"/>
        </w:rPr>
        <w:t>o</w:t>
      </w:r>
      <w:r w:rsidR="00463E85">
        <w:rPr>
          <w:rFonts w:ascii="Calibri" w:hAnsi="Calibri"/>
        </w:rPr>
        <w:t>bjectives for TAFE institutes</w:t>
      </w:r>
      <w:bookmarkEnd w:id="22"/>
      <w:bookmarkEnd w:id="23"/>
    </w:p>
    <w:p w14:paraId="6291C22E" w14:textId="77777777" w:rsidR="00463E85" w:rsidRDefault="00463E85" w:rsidP="00463E85"/>
    <w:p w14:paraId="0CD347D7" w14:textId="47A44DC6" w:rsidR="00463E85" w:rsidRPr="00E649B4" w:rsidRDefault="00463E85" w:rsidP="00463E85">
      <w:pPr>
        <w:numPr>
          <w:ilvl w:val="0"/>
          <w:numId w:val="5"/>
        </w:numPr>
        <w:rPr>
          <w:rFonts w:ascii="Calibri" w:hAnsi="Calibri" w:cs="Calibri"/>
        </w:rPr>
      </w:pPr>
      <w:r>
        <w:rPr>
          <w:rFonts w:ascii="Calibri" w:hAnsi="Calibri" w:cs="Calibri"/>
        </w:rPr>
        <w:t xml:space="preserve">The purpose </w:t>
      </w:r>
      <w:r w:rsidR="00140541">
        <w:rPr>
          <w:rFonts w:ascii="Calibri" w:hAnsi="Calibri" w:cs="Calibri"/>
        </w:rPr>
        <w:t xml:space="preserve">of </w:t>
      </w:r>
      <w:r>
        <w:rPr>
          <w:rFonts w:ascii="Calibri" w:hAnsi="Calibri" w:cs="Calibri"/>
        </w:rPr>
        <w:t>s</w:t>
      </w:r>
      <w:r w:rsidRPr="00E649B4">
        <w:rPr>
          <w:rFonts w:ascii="Calibri" w:hAnsi="Calibri" w:cs="Calibri"/>
        </w:rPr>
        <w:t xml:space="preserve">etting appropriate financial objectives for TAFE institutes </w:t>
      </w:r>
      <w:r>
        <w:rPr>
          <w:rFonts w:ascii="Calibri" w:hAnsi="Calibri" w:cs="Calibri"/>
        </w:rPr>
        <w:t xml:space="preserve">is </w:t>
      </w:r>
      <w:r w:rsidRPr="00E649B4">
        <w:rPr>
          <w:rFonts w:ascii="Calibri" w:hAnsi="Calibri" w:cs="Calibri"/>
        </w:rPr>
        <w:t xml:space="preserve">to – </w:t>
      </w:r>
    </w:p>
    <w:p w14:paraId="2077B084" w14:textId="77777777" w:rsidR="00463E85" w:rsidRPr="00E649B4" w:rsidRDefault="00463E85" w:rsidP="00463E85">
      <w:pPr>
        <w:rPr>
          <w:rFonts w:ascii="Calibri" w:hAnsi="Calibri" w:cs="Calibri"/>
        </w:rPr>
      </w:pPr>
    </w:p>
    <w:p w14:paraId="2ABB6E47" w14:textId="77777777" w:rsidR="00463E85" w:rsidRPr="00E649B4" w:rsidRDefault="00463E85" w:rsidP="00463E85">
      <w:pPr>
        <w:numPr>
          <w:ilvl w:val="0"/>
          <w:numId w:val="23"/>
        </w:numPr>
        <w:ind w:left="1418" w:hanging="709"/>
        <w:rPr>
          <w:rFonts w:ascii="Calibri" w:hAnsi="Calibri" w:cs="Calibri"/>
        </w:rPr>
      </w:pPr>
      <w:r w:rsidRPr="00E649B4">
        <w:rPr>
          <w:rFonts w:ascii="Calibri" w:hAnsi="Calibri" w:cs="Calibri"/>
        </w:rPr>
        <w:t>ensure that TAFE institutes operate efficiently, that is, at minimum cost for a given scale and quality of outputs;</w:t>
      </w:r>
    </w:p>
    <w:p w14:paraId="738267B7" w14:textId="77777777" w:rsidR="00463E85" w:rsidRPr="00E649B4" w:rsidRDefault="00463E85" w:rsidP="00463E85">
      <w:pPr>
        <w:tabs>
          <w:tab w:val="num" w:pos="1134"/>
        </w:tabs>
        <w:ind w:left="1134" w:hanging="425"/>
        <w:rPr>
          <w:rFonts w:ascii="Calibri" w:hAnsi="Calibri" w:cs="Calibri"/>
        </w:rPr>
      </w:pPr>
    </w:p>
    <w:p w14:paraId="6CD1D415" w14:textId="77777777" w:rsidR="00463E85" w:rsidRPr="00E649B4" w:rsidRDefault="00463E85" w:rsidP="00463E85">
      <w:pPr>
        <w:numPr>
          <w:ilvl w:val="0"/>
          <w:numId w:val="23"/>
        </w:numPr>
        <w:ind w:left="1418" w:hanging="709"/>
        <w:rPr>
          <w:rFonts w:ascii="Calibri" w:hAnsi="Calibri" w:cs="Calibri"/>
        </w:rPr>
      </w:pPr>
      <w:r w:rsidRPr="00E649B4">
        <w:rPr>
          <w:rFonts w:ascii="Calibri" w:hAnsi="Calibri" w:cs="Calibri"/>
        </w:rPr>
        <w:t>ensure that TAFE institutes set fees efficiently, that is, set fees that take into account economic forces, including the level of demand for, and the TAFE institute’s capacity for and cost of supplying services; and</w:t>
      </w:r>
    </w:p>
    <w:p w14:paraId="48C22C87" w14:textId="77777777" w:rsidR="00463E85" w:rsidRPr="00E649B4" w:rsidRDefault="00463E85" w:rsidP="00463E85">
      <w:pPr>
        <w:tabs>
          <w:tab w:val="num" w:pos="1134"/>
        </w:tabs>
        <w:ind w:left="1134" w:hanging="425"/>
        <w:rPr>
          <w:rFonts w:ascii="Calibri" w:hAnsi="Calibri" w:cs="Calibri"/>
        </w:rPr>
      </w:pPr>
    </w:p>
    <w:p w14:paraId="5C331D78" w14:textId="7D398BBE" w:rsidR="00463E85" w:rsidRDefault="00463E85" w:rsidP="00463E85">
      <w:pPr>
        <w:numPr>
          <w:ilvl w:val="0"/>
          <w:numId w:val="23"/>
        </w:numPr>
        <w:ind w:left="1418" w:hanging="709"/>
        <w:rPr>
          <w:rFonts w:ascii="Calibri" w:hAnsi="Calibri" w:cs="Calibri"/>
        </w:rPr>
      </w:pPr>
      <w:proofErr w:type="gramStart"/>
      <w:r w:rsidRPr="00E649B4">
        <w:rPr>
          <w:rFonts w:ascii="Calibri" w:hAnsi="Calibri" w:cs="Calibri"/>
        </w:rPr>
        <w:t>provide</w:t>
      </w:r>
      <w:proofErr w:type="gramEnd"/>
      <w:r w:rsidRPr="00E649B4">
        <w:rPr>
          <w:rFonts w:ascii="Calibri" w:hAnsi="Calibri" w:cs="Calibri"/>
        </w:rPr>
        <w:t xml:space="preserve"> an environment for TAFE institutes which is competitively neutral with the private sector</w:t>
      </w:r>
      <w:r w:rsidR="003C3CF0">
        <w:rPr>
          <w:rFonts w:ascii="Calibri" w:hAnsi="Calibri" w:cs="Calibri"/>
        </w:rPr>
        <w:t>.</w:t>
      </w:r>
    </w:p>
    <w:p w14:paraId="3B264138" w14:textId="77777777" w:rsidR="00484A0D" w:rsidRDefault="00484A0D" w:rsidP="00484A0D">
      <w:pPr>
        <w:ind w:left="1440" w:right="1502"/>
        <w:rPr>
          <w:rFonts w:ascii="Calibri" w:hAnsi="Calibri"/>
          <w:b/>
          <w:sz w:val="20"/>
          <w:szCs w:val="20"/>
        </w:rPr>
      </w:pPr>
    </w:p>
    <w:p w14:paraId="513298EF" w14:textId="655C50CE" w:rsidR="00484A0D" w:rsidRPr="00035C34" w:rsidRDefault="00484A0D" w:rsidP="00484A0D">
      <w:pPr>
        <w:ind w:left="1440" w:right="1502"/>
        <w:rPr>
          <w:rFonts w:ascii="Calibri" w:hAnsi="Calibri"/>
          <w:b/>
          <w:sz w:val="20"/>
          <w:szCs w:val="20"/>
        </w:rPr>
      </w:pPr>
      <w:r>
        <w:rPr>
          <w:rFonts w:ascii="Calibri" w:hAnsi="Calibri"/>
          <w:b/>
          <w:sz w:val="20"/>
          <w:szCs w:val="20"/>
        </w:rPr>
        <w:t>Note</w:t>
      </w:r>
    </w:p>
    <w:p w14:paraId="14A9EEF5" w14:textId="1DFB99EA" w:rsidR="00484A0D" w:rsidRPr="003C3CF0" w:rsidRDefault="003C3CF0" w:rsidP="003C3CF0">
      <w:pPr>
        <w:ind w:left="1440" w:right="1502"/>
        <w:rPr>
          <w:rFonts w:ascii="Calibri" w:hAnsi="Calibri"/>
          <w:sz w:val="20"/>
          <w:szCs w:val="20"/>
        </w:rPr>
      </w:pPr>
      <w:r>
        <w:rPr>
          <w:rFonts w:ascii="Calibri" w:hAnsi="Calibri"/>
          <w:sz w:val="20"/>
          <w:szCs w:val="20"/>
        </w:rPr>
        <w:t>In addition to complying with Guideline 7</w:t>
      </w:r>
      <w:r w:rsidR="005A3441">
        <w:rPr>
          <w:rFonts w:ascii="Calibri" w:hAnsi="Calibri"/>
          <w:sz w:val="20"/>
          <w:szCs w:val="20"/>
        </w:rPr>
        <w:t xml:space="preserve"> and </w:t>
      </w:r>
      <w:r w:rsidR="00B93844">
        <w:rPr>
          <w:rFonts w:ascii="Calibri" w:hAnsi="Calibri"/>
          <w:sz w:val="20"/>
          <w:szCs w:val="20"/>
        </w:rPr>
        <w:t xml:space="preserve">any relevant </w:t>
      </w:r>
      <w:r w:rsidR="005A3441">
        <w:rPr>
          <w:rFonts w:ascii="Calibri" w:hAnsi="Calibri"/>
          <w:sz w:val="20"/>
          <w:szCs w:val="20"/>
        </w:rPr>
        <w:t>laws</w:t>
      </w:r>
      <w:r>
        <w:rPr>
          <w:rFonts w:ascii="Calibri" w:hAnsi="Calibri"/>
          <w:sz w:val="20"/>
          <w:szCs w:val="20"/>
        </w:rPr>
        <w:t xml:space="preserve">, a </w:t>
      </w:r>
      <w:r w:rsidR="00484A0D">
        <w:rPr>
          <w:rFonts w:ascii="Calibri" w:hAnsi="Calibri"/>
          <w:sz w:val="20"/>
          <w:szCs w:val="20"/>
        </w:rPr>
        <w:t>T</w:t>
      </w:r>
      <w:r w:rsidR="00B93844">
        <w:rPr>
          <w:rFonts w:ascii="Calibri" w:hAnsi="Calibri"/>
          <w:sz w:val="20"/>
          <w:szCs w:val="20"/>
        </w:rPr>
        <w:t>AFE Institute</w:t>
      </w:r>
      <w:r w:rsidR="00484A0D">
        <w:rPr>
          <w:rFonts w:ascii="Calibri" w:hAnsi="Calibri"/>
          <w:sz w:val="20"/>
          <w:szCs w:val="20"/>
        </w:rPr>
        <w:t xml:space="preserve"> </w:t>
      </w:r>
      <w:r>
        <w:rPr>
          <w:rFonts w:ascii="Calibri" w:hAnsi="Calibri"/>
          <w:sz w:val="20"/>
          <w:szCs w:val="20"/>
        </w:rPr>
        <w:t xml:space="preserve">is </w:t>
      </w:r>
      <w:r w:rsidR="00484A0D">
        <w:rPr>
          <w:rFonts w:ascii="Calibri" w:hAnsi="Calibri"/>
          <w:sz w:val="20"/>
          <w:szCs w:val="20"/>
        </w:rPr>
        <w:t xml:space="preserve">bound by Victorian Government </w:t>
      </w:r>
      <w:r w:rsidRPr="003C3CF0">
        <w:rPr>
          <w:rFonts w:ascii="Calibri" w:hAnsi="Calibri"/>
          <w:i/>
          <w:sz w:val="20"/>
          <w:szCs w:val="20"/>
        </w:rPr>
        <w:t>Competitive Neutrality Policy</w:t>
      </w:r>
      <w:r>
        <w:rPr>
          <w:rFonts w:ascii="Calibri" w:hAnsi="Calibri"/>
          <w:sz w:val="20"/>
          <w:szCs w:val="20"/>
        </w:rPr>
        <w:t>.</w:t>
      </w:r>
    </w:p>
    <w:p w14:paraId="2FFE6A0C" w14:textId="77777777" w:rsidR="00463E85" w:rsidRPr="00E649B4" w:rsidRDefault="00463E85" w:rsidP="00463E85">
      <w:pPr>
        <w:pStyle w:val="ListParagraph"/>
        <w:rPr>
          <w:rFonts w:ascii="Calibri" w:hAnsi="Calibri" w:cs="Calibri"/>
        </w:rPr>
      </w:pPr>
    </w:p>
    <w:p w14:paraId="4E3725F3" w14:textId="0CA674AD" w:rsidR="008720E3" w:rsidRDefault="0064122B" w:rsidP="00463E85">
      <w:pPr>
        <w:numPr>
          <w:ilvl w:val="0"/>
          <w:numId w:val="5"/>
        </w:numPr>
        <w:rPr>
          <w:rFonts w:ascii="Calibri" w:hAnsi="Calibri" w:cs="Calibri"/>
        </w:rPr>
      </w:pPr>
      <w:r>
        <w:rPr>
          <w:rFonts w:ascii="Calibri" w:hAnsi="Calibri" w:cs="Calibri"/>
        </w:rPr>
        <w:t>A</w:t>
      </w:r>
      <w:r w:rsidR="00463E85" w:rsidRPr="00E649B4">
        <w:rPr>
          <w:rFonts w:ascii="Calibri" w:hAnsi="Calibri" w:cs="Calibri"/>
        </w:rPr>
        <w:t xml:space="preserve"> TAFE institute’s strategic plan should outline </w:t>
      </w:r>
      <w:r w:rsidR="00AC4914">
        <w:rPr>
          <w:rFonts w:ascii="Calibri" w:hAnsi="Calibri" w:cs="Calibri"/>
        </w:rPr>
        <w:t xml:space="preserve">how it will </w:t>
      </w:r>
      <w:r w:rsidR="00463E85" w:rsidRPr="00E649B4">
        <w:rPr>
          <w:rFonts w:ascii="Calibri" w:hAnsi="Calibri" w:cs="Calibri"/>
        </w:rPr>
        <w:t>transition to</w:t>
      </w:r>
      <w:r w:rsidR="00533A85">
        <w:rPr>
          <w:rFonts w:ascii="Calibri" w:hAnsi="Calibri" w:cs="Calibri"/>
        </w:rPr>
        <w:t>wards</w:t>
      </w:r>
      <w:r w:rsidR="00463E85" w:rsidRPr="00E649B4">
        <w:rPr>
          <w:rFonts w:ascii="Calibri" w:hAnsi="Calibri" w:cs="Calibri"/>
        </w:rPr>
        <w:t xml:space="preserve"> maintain</w:t>
      </w:r>
      <w:r w:rsidR="00533A85">
        <w:rPr>
          <w:rFonts w:ascii="Calibri" w:hAnsi="Calibri" w:cs="Calibri"/>
        </w:rPr>
        <w:t>ing</w:t>
      </w:r>
      <w:r w:rsidR="00463E85" w:rsidRPr="00E649B4">
        <w:rPr>
          <w:rFonts w:ascii="Calibri" w:hAnsi="Calibri" w:cs="Calibri"/>
        </w:rPr>
        <w:t xml:space="preserve"> </w:t>
      </w:r>
      <w:r w:rsidR="005C505B">
        <w:rPr>
          <w:rFonts w:ascii="Calibri" w:hAnsi="Calibri" w:cs="Calibri"/>
        </w:rPr>
        <w:t xml:space="preserve">its </w:t>
      </w:r>
      <w:r w:rsidR="00463E85">
        <w:rPr>
          <w:rFonts w:ascii="Calibri" w:hAnsi="Calibri" w:cs="Calibri"/>
        </w:rPr>
        <w:t>investment in the TAFE institute</w:t>
      </w:r>
      <w:r w:rsidR="00463E85" w:rsidRPr="00E649B4">
        <w:rPr>
          <w:rFonts w:ascii="Calibri" w:hAnsi="Calibri" w:cs="Calibri"/>
        </w:rPr>
        <w:t xml:space="preserve">. </w:t>
      </w:r>
    </w:p>
    <w:p w14:paraId="34B7C214" w14:textId="77777777" w:rsidR="008720E3" w:rsidRDefault="008720E3" w:rsidP="008720E3">
      <w:pPr>
        <w:ind w:left="720"/>
        <w:rPr>
          <w:rFonts w:ascii="Calibri" w:hAnsi="Calibri" w:cs="Calibri"/>
        </w:rPr>
      </w:pPr>
    </w:p>
    <w:p w14:paraId="61282307" w14:textId="77777777" w:rsidR="003D31AF" w:rsidRDefault="003D31AF" w:rsidP="003D31AF">
      <w:pPr>
        <w:numPr>
          <w:ilvl w:val="0"/>
          <w:numId w:val="5"/>
        </w:numPr>
        <w:rPr>
          <w:rFonts w:ascii="Calibri" w:hAnsi="Calibri" w:cs="Calibri"/>
        </w:rPr>
      </w:pPr>
      <w:r>
        <w:rPr>
          <w:rFonts w:ascii="Calibri" w:hAnsi="Calibri" w:cs="Calibri"/>
        </w:rPr>
        <w:t xml:space="preserve">The investment </w:t>
      </w:r>
      <w:r w:rsidRPr="00E649B4">
        <w:rPr>
          <w:rFonts w:ascii="Calibri" w:hAnsi="Calibri" w:cs="Calibri"/>
        </w:rPr>
        <w:t xml:space="preserve">is maintained when the TAFE institute’s return </w:t>
      </w:r>
      <w:r>
        <w:rPr>
          <w:rFonts w:ascii="Calibri" w:hAnsi="Calibri" w:cs="Calibri"/>
        </w:rPr>
        <w:t xml:space="preserve">on non-current assets </w:t>
      </w:r>
      <w:r w:rsidRPr="00E649B4">
        <w:rPr>
          <w:rFonts w:ascii="Calibri" w:hAnsi="Calibri" w:cs="Calibri"/>
        </w:rPr>
        <w:t xml:space="preserve">is the </w:t>
      </w:r>
      <w:r>
        <w:rPr>
          <w:rFonts w:ascii="Calibri" w:hAnsi="Calibri" w:cs="Calibri"/>
        </w:rPr>
        <w:t xml:space="preserve">weighted </w:t>
      </w:r>
      <w:r w:rsidRPr="00E649B4">
        <w:rPr>
          <w:rFonts w:ascii="Calibri" w:hAnsi="Calibri" w:cs="Calibri"/>
        </w:rPr>
        <w:t>average cost of capital (WACC)</w:t>
      </w:r>
      <w:r>
        <w:rPr>
          <w:rFonts w:ascii="Calibri" w:hAnsi="Calibri" w:cs="Calibri"/>
        </w:rPr>
        <w:t xml:space="preserve">, where WACC is – </w:t>
      </w:r>
    </w:p>
    <w:p w14:paraId="5BD4A3F9" w14:textId="77777777" w:rsidR="003D31AF" w:rsidRDefault="003D31AF" w:rsidP="003D31AF">
      <w:pPr>
        <w:ind w:left="720"/>
        <w:rPr>
          <w:rFonts w:ascii="Calibri" w:hAnsi="Calibri" w:cs="Calibri"/>
        </w:rPr>
      </w:pPr>
    </w:p>
    <w:p w14:paraId="07A37EE6" w14:textId="77777777" w:rsidR="003D31AF" w:rsidRDefault="003D31AF" w:rsidP="003D31AF">
      <w:pPr>
        <w:ind w:left="720"/>
        <w:rPr>
          <w:rFonts w:ascii="Calibri" w:hAnsi="Calibri" w:cs="Calibri"/>
        </w:rPr>
      </w:pPr>
      <w:r>
        <w:rPr>
          <w:rFonts w:ascii="Calibri" w:hAnsi="Calibri" w:cs="Calibri"/>
        </w:rPr>
        <w:t>WACC = E/V * R</w:t>
      </w:r>
      <w:r>
        <w:rPr>
          <w:rFonts w:ascii="Calibri" w:hAnsi="Calibri" w:cs="Calibri"/>
          <w:vertAlign w:val="subscript"/>
        </w:rPr>
        <w:t>e</w:t>
      </w:r>
      <w:r>
        <w:rPr>
          <w:rFonts w:ascii="Calibri" w:hAnsi="Calibri" w:cs="Calibri"/>
        </w:rPr>
        <w:t xml:space="preserve"> + D/V * R</w:t>
      </w:r>
      <w:r>
        <w:rPr>
          <w:rFonts w:ascii="Calibri" w:hAnsi="Calibri" w:cs="Calibri"/>
          <w:vertAlign w:val="subscript"/>
        </w:rPr>
        <w:t>d</w:t>
      </w:r>
    </w:p>
    <w:p w14:paraId="2647DF33" w14:textId="77777777" w:rsidR="003D31AF" w:rsidRDefault="003D31AF" w:rsidP="003D31AF">
      <w:pPr>
        <w:ind w:left="720"/>
        <w:rPr>
          <w:rFonts w:ascii="Calibri" w:hAnsi="Calibri" w:cs="Calibri"/>
        </w:rPr>
      </w:pPr>
    </w:p>
    <w:p w14:paraId="2E4A705C" w14:textId="77777777" w:rsidR="003D31AF" w:rsidRDefault="003D31AF" w:rsidP="003D31AF">
      <w:pPr>
        <w:ind w:left="720"/>
        <w:rPr>
          <w:rFonts w:ascii="Calibri" w:hAnsi="Calibri" w:cs="Calibri"/>
        </w:rPr>
      </w:pPr>
      <w:proofErr w:type="gramStart"/>
      <w:r>
        <w:rPr>
          <w:rFonts w:ascii="Calibri" w:hAnsi="Calibri" w:cs="Calibri"/>
        </w:rPr>
        <w:t>where</w:t>
      </w:r>
      <w:proofErr w:type="gramEnd"/>
      <w:r>
        <w:rPr>
          <w:rFonts w:ascii="Calibri" w:hAnsi="Calibri" w:cs="Calibri"/>
        </w:rPr>
        <w:t xml:space="preserve"> – </w:t>
      </w:r>
    </w:p>
    <w:p w14:paraId="78C5422D" w14:textId="77777777" w:rsidR="003D31AF" w:rsidRDefault="003D31AF" w:rsidP="003D31AF">
      <w:pPr>
        <w:ind w:left="720" w:firstLine="720"/>
        <w:rPr>
          <w:rFonts w:ascii="Calibri" w:hAnsi="Calibri" w:cs="Calibri"/>
        </w:rPr>
      </w:pPr>
      <w:r>
        <w:rPr>
          <w:rFonts w:ascii="Calibri" w:hAnsi="Calibri" w:cs="Calibri"/>
        </w:rPr>
        <w:t>R</w:t>
      </w:r>
      <w:r>
        <w:rPr>
          <w:rFonts w:ascii="Calibri" w:hAnsi="Calibri" w:cs="Calibri"/>
          <w:vertAlign w:val="subscript"/>
        </w:rPr>
        <w:t xml:space="preserve">e </w:t>
      </w:r>
      <w:r>
        <w:rPr>
          <w:rFonts w:ascii="Calibri" w:hAnsi="Calibri" w:cs="Calibri"/>
        </w:rPr>
        <w:t xml:space="preserve">is the cost of equity, as per paragraph </w:t>
      </w:r>
      <w:r>
        <w:rPr>
          <w:rFonts w:ascii="Calibri" w:hAnsi="Calibri" w:cs="Calibri"/>
        </w:rPr>
        <w:fldChar w:fldCharType="begin"/>
      </w:r>
      <w:r>
        <w:rPr>
          <w:rFonts w:ascii="Calibri" w:hAnsi="Calibri" w:cs="Calibri"/>
        </w:rPr>
        <w:instrText xml:space="preserve"> REF _Ref349635522 \r \h </w:instrText>
      </w:r>
      <w:r>
        <w:rPr>
          <w:rFonts w:ascii="Calibri" w:hAnsi="Calibri" w:cs="Calibri"/>
        </w:rPr>
      </w:r>
      <w:r>
        <w:rPr>
          <w:rFonts w:ascii="Calibri" w:hAnsi="Calibri" w:cs="Calibri"/>
        </w:rPr>
        <w:fldChar w:fldCharType="separate"/>
      </w:r>
      <w:r>
        <w:rPr>
          <w:rFonts w:ascii="Calibri" w:hAnsi="Calibri" w:cs="Calibri"/>
        </w:rPr>
        <w:t>10</w:t>
      </w:r>
      <w:r>
        <w:rPr>
          <w:rFonts w:ascii="Calibri" w:hAnsi="Calibri" w:cs="Calibri"/>
        </w:rPr>
        <w:fldChar w:fldCharType="end"/>
      </w:r>
      <w:r>
        <w:rPr>
          <w:rFonts w:ascii="Calibri" w:hAnsi="Calibri" w:cs="Calibri"/>
        </w:rPr>
        <w:t xml:space="preserve">(a) </w:t>
      </w:r>
    </w:p>
    <w:p w14:paraId="4288A080" w14:textId="77777777" w:rsidR="003D31AF" w:rsidRDefault="003D31AF" w:rsidP="003D31AF">
      <w:pPr>
        <w:ind w:left="720" w:firstLine="720"/>
        <w:rPr>
          <w:rFonts w:ascii="Calibri" w:hAnsi="Calibri" w:cs="Calibri"/>
        </w:rPr>
      </w:pPr>
      <w:r>
        <w:rPr>
          <w:rFonts w:ascii="Calibri" w:hAnsi="Calibri" w:cs="Calibri"/>
        </w:rPr>
        <w:t>R</w:t>
      </w:r>
      <w:r>
        <w:rPr>
          <w:rFonts w:ascii="Calibri" w:hAnsi="Calibri" w:cs="Calibri"/>
          <w:vertAlign w:val="subscript"/>
        </w:rPr>
        <w:t>d</w:t>
      </w:r>
      <w:r>
        <w:rPr>
          <w:rFonts w:ascii="Calibri" w:hAnsi="Calibri" w:cs="Calibri"/>
        </w:rPr>
        <w:t xml:space="preserve"> is the cost of debt, as per paragraph </w:t>
      </w:r>
      <w:r>
        <w:rPr>
          <w:rFonts w:ascii="Calibri" w:hAnsi="Calibri" w:cs="Calibri"/>
        </w:rPr>
        <w:fldChar w:fldCharType="begin"/>
      </w:r>
      <w:r>
        <w:rPr>
          <w:rFonts w:ascii="Calibri" w:hAnsi="Calibri" w:cs="Calibri"/>
        </w:rPr>
        <w:instrText xml:space="preserve"> REF _Ref349635522 \r \h </w:instrText>
      </w:r>
      <w:r>
        <w:rPr>
          <w:rFonts w:ascii="Calibri" w:hAnsi="Calibri" w:cs="Calibri"/>
        </w:rPr>
      </w:r>
      <w:r>
        <w:rPr>
          <w:rFonts w:ascii="Calibri" w:hAnsi="Calibri" w:cs="Calibri"/>
        </w:rPr>
        <w:fldChar w:fldCharType="separate"/>
      </w:r>
      <w:r>
        <w:rPr>
          <w:rFonts w:ascii="Calibri" w:hAnsi="Calibri" w:cs="Calibri"/>
        </w:rPr>
        <w:t>10</w:t>
      </w:r>
      <w:r>
        <w:rPr>
          <w:rFonts w:ascii="Calibri" w:hAnsi="Calibri" w:cs="Calibri"/>
        </w:rPr>
        <w:fldChar w:fldCharType="end"/>
      </w:r>
      <w:r>
        <w:rPr>
          <w:rFonts w:ascii="Calibri" w:hAnsi="Calibri" w:cs="Calibri"/>
        </w:rPr>
        <w:t>(b)</w:t>
      </w:r>
    </w:p>
    <w:p w14:paraId="0E821469" w14:textId="77777777" w:rsidR="003D31AF" w:rsidRDefault="003D31AF" w:rsidP="003D31AF">
      <w:pPr>
        <w:ind w:left="720" w:firstLine="720"/>
        <w:rPr>
          <w:rFonts w:ascii="Calibri" w:hAnsi="Calibri" w:cs="Calibri"/>
        </w:rPr>
      </w:pPr>
      <w:r>
        <w:rPr>
          <w:rFonts w:ascii="Calibri" w:hAnsi="Calibri" w:cs="Calibri"/>
        </w:rPr>
        <w:t>E is the value of the institute’s equity or net assets</w:t>
      </w:r>
    </w:p>
    <w:p w14:paraId="2F55C5AE" w14:textId="77777777" w:rsidR="003D31AF" w:rsidRDefault="003D31AF" w:rsidP="003D31AF">
      <w:pPr>
        <w:ind w:left="720" w:firstLine="720"/>
        <w:rPr>
          <w:rFonts w:ascii="Calibri" w:hAnsi="Calibri" w:cs="Calibri"/>
        </w:rPr>
      </w:pPr>
      <w:r>
        <w:rPr>
          <w:rFonts w:ascii="Calibri" w:hAnsi="Calibri" w:cs="Calibri"/>
        </w:rPr>
        <w:t>D is the value of the institute’s total liabilities</w:t>
      </w:r>
    </w:p>
    <w:p w14:paraId="088D6D45" w14:textId="77777777" w:rsidR="003D31AF" w:rsidRDefault="003D31AF" w:rsidP="003D31AF">
      <w:pPr>
        <w:ind w:left="720" w:firstLine="720"/>
        <w:rPr>
          <w:rFonts w:ascii="Calibri" w:hAnsi="Calibri" w:cs="Calibri"/>
        </w:rPr>
      </w:pPr>
      <w:r>
        <w:rPr>
          <w:rFonts w:ascii="Calibri" w:hAnsi="Calibri" w:cs="Calibri"/>
        </w:rPr>
        <w:t>V = E + D</w:t>
      </w:r>
    </w:p>
    <w:p w14:paraId="7F6209EE" w14:textId="77777777" w:rsidR="00482FE5" w:rsidRDefault="00482FE5" w:rsidP="003D31AF">
      <w:pPr>
        <w:ind w:left="720" w:firstLine="720"/>
        <w:rPr>
          <w:rFonts w:ascii="Calibri" w:hAnsi="Calibri" w:cs="Calibri"/>
        </w:rPr>
      </w:pPr>
    </w:p>
    <w:p w14:paraId="69BE8E92" w14:textId="6F23F80D" w:rsidR="00463E85" w:rsidRDefault="00482FE5" w:rsidP="00482FE5">
      <w:pPr>
        <w:ind w:left="720" w:hanging="720"/>
        <w:rPr>
          <w:rFonts w:ascii="Calibri" w:hAnsi="Calibri" w:cs="Calibri"/>
        </w:rPr>
      </w:pPr>
      <w:r>
        <w:rPr>
          <w:rFonts w:ascii="Calibri" w:hAnsi="Calibri" w:cs="Calibri"/>
        </w:rPr>
        <w:t>9A.</w:t>
      </w:r>
      <w:r>
        <w:rPr>
          <w:rFonts w:ascii="Calibri" w:hAnsi="Calibri" w:cs="Calibri"/>
        </w:rPr>
        <w:tab/>
      </w:r>
      <w:proofErr w:type="gramStart"/>
      <w:r>
        <w:rPr>
          <w:rFonts w:ascii="Calibri" w:hAnsi="Calibri" w:cs="Calibri"/>
        </w:rPr>
        <w:t>For</w:t>
      </w:r>
      <w:proofErr w:type="gramEnd"/>
      <w:r>
        <w:rPr>
          <w:rFonts w:ascii="Calibri" w:hAnsi="Calibri" w:cs="Calibri"/>
        </w:rPr>
        <w:t xml:space="preserve"> the purposes of paragraph 9, the return on non-current assets is the earnings before interest expense for the year divided by the value of the non-current assets at the end of the year. The earnings before interest expense </w:t>
      </w:r>
      <w:proofErr w:type="gramStart"/>
      <w:r>
        <w:rPr>
          <w:rFonts w:ascii="Calibri" w:hAnsi="Calibri" w:cs="Calibri"/>
        </w:rPr>
        <w:t>excludes</w:t>
      </w:r>
      <w:proofErr w:type="gramEnd"/>
      <w:r>
        <w:rPr>
          <w:rFonts w:ascii="Calibri" w:hAnsi="Calibri" w:cs="Calibri"/>
        </w:rPr>
        <w:t xml:space="preserve"> capital contributions and other economic flows.</w:t>
      </w:r>
    </w:p>
    <w:p w14:paraId="336918DF" w14:textId="77777777" w:rsidR="00482FE5" w:rsidRDefault="00482FE5" w:rsidP="00482FE5">
      <w:pPr>
        <w:rPr>
          <w:rFonts w:ascii="Calibri" w:hAnsi="Calibri" w:cs="Calibri"/>
        </w:rPr>
      </w:pPr>
    </w:p>
    <w:p w14:paraId="4E707584" w14:textId="77777777" w:rsidR="00463E85" w:rsidRDefault="00463E85" w:rsidP="00463E85">
      <w:pPr>
        <w:numPr>
          <w:ilvl w:val="0"/>
          <w:numId w:val="5"/>
        </w:numPr>
        <w:rPr>
          <w:rFonts w:ascii="Calibri" w:hAnsi="Calibri" w:cs="Calibri"/>
        </w:rPr>
      </w:pPr>
      <w:bookmarkStart w:id="26" w:name="_Ref349635522"/>
      <w:r>
        <w:rPr>
          <w:rFonts w:ascii="Calibri" w:hAnsi="Calibri" w:cs="Calibri"/>
        </w:rPr>
        <w:t>The WACC takes into account the different required rates of return attached to the different components of the TAFE institute’s capital structure –</w:t>
      </w:r>
      <w:bookmarkEnd w:id="26"/>
      <w:r>
        <w:rPr>
          <w:rFonts w:ascii="Calibri" w:hAnsi="Calibri" w:cs="Calibri"/>
        </w:rPr>
        <w:t xml:space="preserve"> </w:t>
      </w:r>
    </w:p>
    <w:p w14:paraId="4B593A2B" w14:textId="77777777" w:rsidR="00463E85" w:rsidRPr="00E649B4" w:rsidRDefault="00463E85" w:rsidP="00463E85">
      <w:pPr>
        <w:ind w:left="720"/>
        <w:rPr>
          <w:rFonts w:ascii="Calibri" w:hAnsi="Calibri" w:cs="Calibri"/>
        </w:rPr>
      </w:pPr>
    </w:p>
    <w:p w14:paraId="286C40D4" w14:textId="3520EDE4" w:rsidR="00463E85" w:rsidRDefault="00463E85" w:rsidP="00463E85">
      <w:pPr>
        <w:numPr>
          <w:ilvl w:val="0"/>
          <w:numId w:val="24"/>
        </w:numPr>
        <w:ind w:hanging="731"/>
        <w:rPr>
          <w:rFonts w:ascii="Calibri" w:hAnsi="Calibri" w:cs="Calibri"/>
        </w:rPr>
      </w:pPr>
      <w:bookmarkStart w:id="27" w:name="_Ref349635536"/>
      <w:r>
        <w:rPr>
          <w:rFonts w:ascii="Calibri" w:hAnsi="Calibri" w:cs="Calibri"/>
        </w:rPr>
        <w:t xml:space="preserve">the </w:t>
      </w:r>
      <w:r w:rsidR="000076B4">
        <w:rPr>
          <w:rFonts w:ascii="Calibri" w:hAnsi="Calibri" w:cs="Calibri"/>
        </w:rPr>
        <w:t xml:space="preserve">cost of </w:t>
      </w:r>
      <w:r>
        <w:rPr>
          <w:rFonts w:ascii="Calibri" w:hAnsi="Calibri" w:cs="Calibri"/>
        </w:rPr>
        <w:t>equity is the risk free rate plus a risk premium appropriate to the TAFE institute</w:t>
      </w:r>
      <w:r w:rsidR="00F97FA1">
        <w:rPr>
          <w:rFonts w:ascii="Calibri" w:hAnsi="Calibri" w:cs="Calibri"/>
        </w:rPr>
        <w:t>; and</w:t>
      </w:r>
      <w:bookmarkEnd w:id="27"/>
    </w:p>
    <w:p w14:paraId="5BFFDE8E" w14:textId="77777777" w:rsidR="00F97FA1" w:rsidRDefault="00F97FA1" w:rsidP="00035C34">
      <w:pPr>
        <w:rPr>
          <w:rFonts w:ascii="Calibri" w:hAnsi="Calibri" w:cs="Calibri"/>
        </w:rPr>
      </w:pPr>
    </w:p>
    <w:p w14:paraId="0209C9C0" w14:textId="77777777" w:rsidR="00F97FA1" w:rsidRDefault="00F97FA1" w:rsidP="00F97FA1">
      <w:pPr>
        <w:numPr>
          <w:ilvl w:val="0"/>
          <w:numId w:val="24"/>
        </w:numPr>
        <w:ind w:hanging="731"/>
        <w:rPr>
          <w:rFonts w:ascii="Calibri" w:hAnsi="Calibri" w:cs="Calibri"/>
        </w:rPr>
      </w:pPr>
      <w:proofErr w:type="gramStart"/>
      <w:r>
        <w:rPr>
          <w:rFonts w:ascii="Calibri" w:hAnsi="Calibri" w:cs="Calibri"/>
        </w:rPr>
        <w:t>where</w:t>
      </w:r>
      <w:proofErr w:type="gramEnd"/>
      <w:r>
        <w:rPr>
          <w:rFonts w:ascii="Calibri" w:hAnsi="Calibri" w:cs="Calibri"/>
        </w:rPr>
        <w:t xml:space="preserve"> applicable, the cost of debt is the expected rate at which the TAFE institute is able to borrow.</w:t>
      </w:r>
    </w:p>
    <w:p w14:paraId="4C8D8E43" w14:textId="77777777" w:rsidR="00463E85" w:rsidRPr="00E649B4" w:rsidRDefault="00463E85" w:rsidP="00463E85">
      <w:pPr>
        <w:ind w:left="1440"/>
        <w:rPr>
          <w:rFonts w:ascii="Calibri" w:hAnsi="Calibri" w:cs="Calibri"/>
        </w:rPr>
      </w:pPr>
    </w:p>
    <w:p w14:paraId="2E00CB35" w14:textId="7E037974" w:rsidR="00E615B3" w:rsidRDefault="00E615B3" w:rsidP="00463E85">
      <w:pPr>
        <w:numPr>
          <w:ilvl w:val="0"/>
          <w:numId w:val="5"/>
        </w:numPr>
        <w:rPr>
          <w:rFonts w:ascii="Calibri" w:hAnsi="Calibri" w:cs="Calibri"/>
        </w:rPr>
      </w:pPr>
      <w:r>
        <w:rPr>
          <w:rFonts w:ascii="Calibri" w:hAnsi="Calibri" w:cs="Calibri"/>
        </w:rPr>
        <w:t xml:space="preserve">Once annually, prior to publishing the annual statement of corporate intent, </w:t>
      </w:r>
      <w:r w:rsidR="00B93844">
        <w:rPr>
          <w:rFonts w:ascii="Calibri" w:hAnsi="Calibri" w:cs="Calibri"/>
        </w:rPr>
        <w:t>a</w:t>
      </w:r>
      <w:r w:rsidR="00463E85" w:rsidRPr="00E649B4">
        <w:rPr>
          <w:rFonts w:ascii="Calibri" w:hAnsi="Calibri" w:cs="Calibri"/>
        </w:rPr>
        <w:t xml:space="preserve"> TAFE institute must</w:t>
      </w:r>
      <w:r w:rsidR="00F952D4">
        <w:rPr>
          <w:rFonts w:ascii="Calibri" w:hAnsi="Calibri" w:cs="Calibri"/>
        </w:rPr>
        <w:t xml:space="preserve"> </w:t>
      </w:r>
      <w:r>
        <w:rPr>
          <w:rFonts w:ascii="Calibri" w:hAnsi="Calibri" w:cs="Calibri"/>
        </w:rPr>
        <w:t xml:space="preserve">consult with the Minister and come to an agreement as to </w:t>
      </w:r>
      <w:r w:rsidR="00F952D4">
        <w:rPr>
          <w:rFonts w:ascii="Calibri" w:hAnsi="Calibri" w:cs="Calibri"/>
        </w:rPr>
        <w:t xml:space="preserve">the </w:t>
      </w:r>
      <w:r>
        <w:rPr>
          <w:rFonts w:ascii="Calibri" w:hAnsi="Calibri" w:cs="Calibri"/>
        </w:rPr>
        <w:t xml:space="preserve">proposed financial return for the TAFE institute for the following financial year. </w:t>
      </w:r>
    </w:p>
    <w:p w14:paraId="584C62EC" w14:textId="77777777" w:rsidR="00B93844" w:rsidRDefault="00B93844" w:rsidP="00B93844">
      <w:pPr>
        <w:ind w:left="720"/>
        <w:rPr>
          <w:rFonts w:ascii="Calibri" w:hAnsi="Calibri" w:cs="Calibri"/>
        </w:rPr>
      </w:pPr>
    </w:p>
    <w:p w14:paraId="6D976D11" w14:textId="68D6CFEF" w:rsidR="00463E85" w:rsidRDefault="00463E85" w:rsidP="00463E85">
      <w:pPr>
        <w:numPr>
          <w:ilvl w:val="0"/>
          <w:numId w:val="5"/>
        </w:numPr>
        <w:rPr>
          <w:rFonts w:ascii="Calibri" w:hAnsi="Calibri" w:cs="Calibri"/>
        </w:rPr>
      </w:pPr>
      <w:r w:rsidRPr="00E649B4">
        <w:rPr>
          <w:rFonts w:ascii="Calibri" w:hAnsi="Calibri" w:cs="Calibri"/>
        </w:rPr>
        <w:t xml:space="preserve">Where a TAFE institute achieves a </w:t>
      </w:r>
      <w:r w:rsidR="000E5FFB">
        <w:rPr>
          <w:rFonts w:ascii="Calibri" w:hAnsi="Calibri" w:cs="Calibri"/>
        </w:rPr>
        <w:t xml:space="preserve">lower financial </w:t>
      </w:r>
      <w:r w:rsidRPr="00E649B4">
        <w:rPr>
          <w:rFonts w:ascii="Calibri" w:hAnsi="Calibri" w:cs="Calibri"/>
        </w:rPr>
        <w:t>return than</w:t>
      </w:r>
      <w:r w:rsidR="000E5FFB">
        <w:rPr>
          <w:rFonts w:ascii="Calibri" w:hAnsi="Calibri" w:cs="Calibri"/>
        </w:rPr>
        <w:t xml:space="preserve"> agreed </w:t>
      </w:r>
      <w:r w:rsidR="0043305A">
        <w:rPr>
          <w:rFonts w:ascii="Calibri" w:hAnsi="Calibri" w:cs="Calibri"/>
        </w:rPr>
        <w:t>with the Minister</w:t>
      </w:r>
      <w:r w:rsidR="00FF1146">
        <w:rPr>
          <w:rFonts w:ascii="Calibri" w:hAnsi="Calibri" w:cs="Calibri"/>
        </w:rPr>
        <w:t xml:space="preserve"> in the previous year</w:t>
      </w:r>
      <w:r w:rsidRPr="00E649B4">
        <w:rPr>
          <w:rFonts w:ascii="Calibri" w:hAnsi="Calibri" w:cs="Calibri"/>
        </w:rPr>
        <w:t>, it has not achieved the minimum return acceptable to the</w:t>
      </w:r>
      <w:r>
        <w:rPr>
          <w:rFonts w:ascii="Calibri" w:hAnsi="Calibri" w:cs="Calibri"/>
        </w:rPr>
        <w:t xml:space="preserve"> Minister</w:t>
      </w:r>
      <w:r w:rsidRPr="00E649B4">
        <w:rPr>
          <w:rFonts w:ascii="Calibri" w:hAnsi="Calibri" w:cs="Calibri"/>
        </w:rPr>
        <w:t xml:space="preserve">, and the </w:t>
      </w:r>
      <w:r w:rsidR="00F952D4">
        <w:rPr>
          <w:rFonts w:ascii="Calibri" w:hAnsi="Calibri" w:cs="Calibri"/>
        </w:rPr>
        <w:t>institute</w:t>
      </w:r>
      <w:r w:rsidR="00CA2386">
        <w:rPr>
          <w:rFonts w:ascii="Calibri" w:hAnsi="Calibri" w:cs="Calibri"/>
        </w:rPr>
        <w:t xml:space="preserve"> must advise the </w:t>
      </w:r>
      <w:r>
        <w:rPr>
          <w:rFonts w:ascii="Calibri" w:hAnsi="Calibri" w:cs="Calibri"/>
        </w:rPr>
        <w:t xml:space="preserve">Minister </w:t>
      </w:r>
      <w:r w:rsidR="00CA2386">
        <w:rPr>
          <w:rFonts w:ascii="Calibri" w:hAnsi="Calibri" w:cs="Calibri"/>
        </w:rPr>
        <w:t xml:space="preserve">of strategies that the institute has or will adopt in order to </w:t>
      </w:r>
      <w:r w:rsidRPr="00E649B4">
        <w:rPr>
          <w:rFonts w:ascii="Calibri" w:hAnsi="Calibri" w:cs="Calibri"/>
        </w:rPr>
        <w:t>achiev</w:t>
      </w:r>
      <w:r w:rsidR="00CA2386">
        <w:rPr>
          <w:rFonts w:ascii="Calibri" w:hAnsi="Calibri" w:cs="Calibri"/>
        </w:rPr>
        <w:t>e</w:t>
      </w:r>
      <w:r w:rsidRPr="00E649B4">
        <w:rPr>
          <w:rFonts w:ascii="Calibri" w:hAnsi="Calibri" w:cs="Calibri"/>
        </w:rPr>
        <w:t xml:space="preserve"> the </w:t>
      </w:r>
      <w:r w:rsidR="000E5FFB">
        <w:rPr>
          <w:rFonts w:ascii="Calibri" w:hAnsi="Calibri" w:cs="Calibri"/>
        </w:rPr>
        <w:t>agreed financial return</w:t>
      </w:r>
      <w:r w:rsidRPr="00E649B4">
        <w:rPr>
          <w:rFonts w:ascii="Calibri" w:hAnsi="Calibri" w:cs="Calibri"/>
        </w:rPr>
        <w:t>.</w:t>
      </w:r>
    </w:p>
    <w:p w14:paraId="65401604" w14:textId="77777777" w:rsidR="00CB79F9" w:rsidRDefault="00CB79F9" w:rsidP="00482FE5">
      <w:pPr>
        <w:rPr>
          <w:rFonts w:ascii="Calibri" w:hAnsi="Calibri" w:cs="Calibri"/>
        </w:rPr>
      </w:pPr>
    </w:p>
    <w:p w14:paraId="01A36F0E" w14:textId="644951E8" w:rsidR="00482FE5" w:rsidRDefault="00482FE5" w:rsidP="00482FE5">
      <w:pPr>
        <w:ind w:left="720" w:hanging="720"/>
        <w:rPr>
          <w:rFonts w:ascii="Calibri" w:hAnsi="Calibri" w:cs="Calibri"/>
        </w:rPr>
      </w:pPr>
      <w:r>
        <w:rPr>
          <w:rFonts w:ascii="Calibri" w:hAnsi="Calibri" w:cs="Calibri"/>
        </w:rPr>
        <w:t>12A.</w:t>
      </w:r>
      <w:r>
        <w:rPr>
          <w:rFonts w:ascii="Calibri" w:hAnsi="Calibri" w:cs="Calibri"/>
        </w:rPr>
        <w:tab/>
        <w:t>The Board must ensure that the Institute is able to pay all debts as and when due.</w:t>
      </w:r>
    </w:p>
    <w:p w14:paraId="51F01005" w14:textId="77777777" w:rsidR="00482FE5" w:rsidRDefault="00482FE5" w:rsidP="00035C34">
      <w:pPr>
        <w:ind w:left="720"/>
        <w:rPr>
          <w:rFonts w:ascii="Calibri" w:hAnsi="Calibri" w:cs="Calibri"/>
        </w:rPr>
      </w:pPr>
    </w:p>
    <w:p w14:paraId="66998692" w14:textId="3E9E85C8" w:rsidR="00CB79F9" w:rsidRPr="00E649B4" w:rsidRDefault="00CB79F9" w:rsidP="00463E85">
      <w:pPr>
        <w:numPr>
          <w:ilvl w:val="0"/>
          <w:numId w:val="5"/>
        </w:numPr>
        <w:rPr>
          <w:rFonts w:ascii="Calibri" w:hAnsi="Calibri" w:cs="Calibri"/>
        </w:rPr>
      </w:pPr>
      <w:r>
        <w:rPr>
          <w:rFonts w:ascii="Calibri" w:hAnsi="Calibri" w:cs="Calibri"/>
        </w:rPr>
        <w:t xml:space="preserve">The TAFE institute must also meet </w:t>
      </w:r>
      <w:r w:rsidR="00A63279">
        <w:rPr>
          <w:rFonts w:ascii="Calibri" w:hAnsi="Calibri" w:cs="Calibri"/>
        </w:rPr>
        <w:t xml:space="preserve">any other </w:t>
      </w:r>
      <w:r>
        <w:rPr>
          <w:rFonts w:ascii="Calibri" w:hAnsi="Calibri" w:cs="Calibri"/>
        </w:rPr>
        <w:t>financial and non-financial performance measures</w:t>
      </w:r>
      <w:r w:rsidR="00A63279">
        <w:rPr>
          <w:rFonts w:ascii="Calibri" w:hAnsi="Calibri" w:cs="Calibri"/>
        </w:rPr>
        <w:t>, consistent with the Performance Monitoring Framework,</w:t>
      </w:r>
      <w:r>
        <w:rPr>
          <w:rFonts w:ascii="Calibri" w:hAnsi="Calibri" w:cs="Calibri"/>
        </w:rPr>
        <w:t xml:space="preserve"> </w:t>
      </w:r>
      <w:proofErr w:type="gramStart"/>
      <w:r w:rsidR="00A63279">
        <w:rPr>
          <w:rFonts w:ascii="Calibri" w:hAnsi="Calibri" w:cs="Calibri"/>
        </w:rPr>
        <w:t xml:space="preserve">that </w:t>
      </w:r>
      <w:r w:rsidR="001F30FE">
        <w:rPr>
          <w:rFonts w:ascii="Calibri" w:hAnsi="Calibri" w:cs="Calibri"/>
        </w:rPr>
        <w:t>are</w:t>
      </w:r>
      <w:proofErr w:type="gramEnd"/>
      <w:r w:rsidR="001D1036">
        <w:rPr>
          <w:rFonts w:ascii="Calibri" w:hAnsi="Calibri" w:cs="Calibri"/>
        </w:rPr>
        <w:t xml:space="preserve"> </w:t>
      </w:r>
      <w:r w:rsidR="00A63279">
        <w:rPr>
          <w:rFonts w:ascii="Calibri" w:hAnsi="Calibri" w:cs="Calibri"/>
        </w:rPr>
        <w:t xml:space="preserve">agreed </w:t>
      </w:r>
      <w:r w:rsidR="00A63279" w:rsidRPr="00E649B4">
        <w:rPr>
          <w:rFonts w:ascii="Calibri" w:hAnsi="Calibri" w:cs="Calibri"/>
        </w:rPr>
        <w:t xml:space="preserve">by the </w:t>
      </w:r>
      <w:r w:rsidR="00A63279">
        <w:rPr>
          <w:rFonts w:ascii="Calibri" w:hAnsi="Calibri" w:cs="Calibri"/>
        </w:rPr>
        <w:t>B</w:t>
      </w:r>
      <w:r w:rsidR="00A63279" w:rsidRPr="00E649B4">
        <w:rPr>
          <w:rFonts w:ascii="Calibri" w:hAnsi="Calibri" w:cs="Calibri"/>
        </w:rPr>
        <w:t xml:space="preserve">oard and the Minister in the </w:t>
      </w:r>
      <w:r w:rsidR="00A63279">
        <w:rPr>
          <w:rFonts w:ascii="Calibri" w:hAnsi="Calibri" w:cs="Calibri"/>
        </w:rPr>
        <w:t xml:space="preserve">process of agreeing the </w:t>
      </w:r>
      <w:r w:rsidR="002F5812">
        <w:rPr>
          <w:rFonts w:ascii="Calibri" w:hAnsi="Calibri" w:cs="Calibri"/>
        </w:rPr>
        <w:t>proposed financial return for the TAFE institute for the following year</w:t>
      </w:r>
      <w:r w:rsidR="00A63279" w:rsidRPr="00E649B4">
        <w:rPr>
          <w:rFonts w:ascii="Calibri" w:hAnsi="Calibri" w:cs="Calibri"/>
        </w:rPr>
        <w:t>.</w:t>
      </w:r>
    </w:p>
    <w:p w14:paraId="2ACC7731" w14:textId="54EFC053" w:rsidR="00C1140A" w:rsidRDefault="000A39DB" w:rsidP="00DA3AEC">
      <w:pPr>
        <w:pStyle w:val="Heading3"/>
        <w:rPr>
          <w:rFonts w:ascii="Calibri" w:hAnsi="Calibri"/>
        </w:rPr>
      </w:pPr>
      <w:r>
        <w:rPr>
          <w:rFonts w:ascii="Calibri" w:hAnsi="Calibri"/>
        </w:rPr>
        <w:br w:type="page"/>
      </w:r>
      <w:bookmarkStart w:id="28" w:name="_Toc353436444"/>
      <w:r w:rsidR="00C1140A">
        <w:rPr>
          <w:rFonts w:ascii="Calibri" w:hAnsi="Calibri"/>
        </w:rPr>
        <w:lastRenderedPageBreak/>
        <w:t xml:space="preserve">Guideline </w:t>
      </w:r>
      <w:r w:rsidR="00463E85">
        <w:rPr>
          <w:rFonts w:ascii="Calibri" w:hAnsi="Calibri"/>
        </w:rPr>
        <w:t>2</w:t>
      </w:r>
      <w:r w:rsidR="00C1140A">
        <w:rPr>
          <w:rFonts w:ascii="Calibri" w:hAnsi="Calibri"/>
        </w:rPr>
        <w:t xml:space="preserve"> – </w:t>
      </w:r>
      <w:r w:rsidR="00A42F60">
        <w:rPr>
          <w:rFonts w:ascii="Calibri" w:hAnsi="Calibri"/>
        </w:rPr>
        <w:t>Strategic plan</w:t>
      </w:r>
      <w:bookmarkEnd w:id="24"/>
      <w:bookmarkEnd w:id="25"/>
      <w:bookmarkEnd w:id="28"/>
    </w:p>
    <w:p w14:paraId="010558B7" w14:textId="77777777" w:rsidR="00C1140A" w:rsidRDefault="00C1140A" w:rsidP="00C1140A"/>
    <w:p w14:paraId="452903A7" w14:textId="77777777" w:rsidR="00C0090C" w:rsidRDefault="00C0090C" w:rsidP="009E7845">
      <w:pPr>
        <w:numPr>
          <w:ilvl w:val="0"/>
          <w:numId w:val="5"/>
        </w:numPr>
        <w:rPr>
          <w:rFonts w:ascii="Calibri" w:hAnsi="Calibri" w:cs="Calibri"/>
        </w:rPr>
      </w:pPr>
      <w:r>
        <w:rPr>
          <w:rFonts w:ascii="Calibri" w:hAnsi="Calibri" w:cs="Calibri"/>
        </w:rPr>
        <w:t>The Board must have a current strategic plan.</w:t>
      </w:r>
    </w:p>
    <w:p w14:paraId="517DE6B9" w14:textId="77777777" w:rsidR="00C0090C" w:rsidRDefault="00C0090C" w:rsidP="00C0090C">
      <w:pPr>
        <w:ind w:left="720"/>
        <w:rPr>
          <w:rFonts w:ascii="Calibri" w:hAnsi="Calibri" w:cs="Calibri"/>
        </w:rPr>
      </w:pPr>
    </w:p>
    <w:p w14:paraId="66093054" w14:textId="77777777" w:rsidR="00AC0CE2" w:rsidRDefault="00B520BB" w:rsidP="009E7845">
      <w:pPr>
        <w:numPr>
          <w:ilvl w:val="0"/>
          <w:numId w:val="5"/>
        </w:numPr>
        <w:rPr>
          <w:rFonts w:ascii="Calibri" w:hAnsi="Calibri" w:cs="Calibri"/>
        </w:rPr>
      </w:pPr>
      <w:r w:rsidRPr="00E649B4">
        <w:rPr>
          <w:rFonts w:ascii="Calibri" w:hAnsi="Calibri" w:cs="Calibri"/>
        </w:rPr>
        <w:t xml:space="preserve">The </w:t>
      </w:r>
      <w:r w:rsidR="00224F1D">
        <w:rPr>
          <w:rFonts w:ascii="Calibri" w:hAnsi="Calibri" w:cs="Calibri"/>
        </w:rPr>
        <w:t>strategic plan</w:t>
      </w:r>
      <w:r w:rsidR="00AC0CE2">
        <w:rPr>
          <w:rFonts w:ascii="Calibri" w:hAnsi="Calibri" w:cs="Calibri"/>
        </w:rPr>
        <w:t xml:space="preserve"> is a comprehensive</w:t>
      </w:r>
      <w:r w:rsidR="00F04FE4">
        <w:rPr>
          <w:rFonts w:ascii="Calibri" w:hAnsi="Calibri" w:cs="Calibri"/>
        </w:rPr>
        <w:t xml:space="preserve"> </w:t>
      </w:r>
      <w:r w:rsidR="00AC0CE2">
        <w:rPr>
          <w:rFonts w:ascii="Calibri" w:hAnsi="Calibri" w:cs="Calibri"/>
        </w:rPr>
        <w:t xml:space="preserve">performance plan </w:t>
      </w:r>
      <w:r w:rsidR="00BB6D36">
        <w:rPr>
          <w:rFonts w:ascii="Calibri" w:hAnsi="Calibri" w:cs="Calibri"/>
        </w:rPr>
        <w:t xml:space="preserve">which should be prepared </w:t>
      </w:r>
      <w:r w:rsidR="00F04FE4">
        <w:rPr>
          <w:rFonts w:ascii="Calibri" w:hAnsi="Calibri" w:cs="Calibri"/>
        </w:rPr>
        <w:t xml:space="preserve">over at least a three year period </w:t>
      </w:r>
      <w:r w:rsidR="00AC0CE2">
        <w:rPr>
          <w:rFonts w:ascii="Calibri" w:hAnsi="Calibri" w:cs="Calibri"/>
        </w:rPr>
        <w:t>and include the following</w:t>
      </w:r>
      <w:r w:rsidR="00FC0F9D">
        <w:rPr>
          <w:rFonts w:ascii="Calibri" w:hAnsi="Calibri" w:cs="Calibri"/>
        </w:rPr>
        <w:t xml:space="preserve"> </w:t>
      </w:r>
      <w:r w:rsidR="00FC0F9D">
        <w:rPr>
          <w:rFonts w:ascii="Calibri" w:hAnsi="Calibri"/>
        </w:rPr>
        <w:t>–</w:t>
      </w:r>
    </w:p>
    <w:p w14:paraId="099000A7" w14:textId="77777777" w:rsidR="00AC0CE2" w:rsidRDefault="00AC0CE2" w:rsidP="00AC0CE2">
      <w:pPr>
        <w:pStyle w:val="ListParagraph"/>
        <w:rPr>
          <w:rFonts w:ascii="Calibri" w:hAnsi="Calibri" w:cs="Calibr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247"/>
        <w:gridCol w:w="6275"/>
      </w:tblGrid>
      <w:tr w:rsidR="00AC0CE2" w:rsidRPr="003B70CD" w14:paraId="29BFBCC6" w14:textId="77777777" w:rsidTr="00FB18B6">
        <w:trPr>
          <w:tblHeader/>
        </w:trPr>
        <w:tc>
          <w:tcPr>
            <w:tcW w:w="2376" w:type="dxa"/>
            <w:tcBorders>
              <w:right w:val="nil"/>
            </w:tcBorders>
            <w:shd w:val="clear" w:color="auto" w:fill="D9D9D9" w:themeFill="background1" w:themeFillShade="D9"/>
          </w:tcPr>
          <w:p w14:paraId="7475BCFD" w14:textId="77777777" w:rsidR="00AC0CE2" w:rsidRPr="00FB18B6" w:rsidRDefault="00AC0CE2" w:rsidP="00AC0CE2">
            <w:pPr>
              <w:spacing w:before="60" w:after="60"/>
              <w:rPr>
                <w:rFonts w:asciiTheme="minorHAnsi" w:hAnsiTheme="minorHAnsi" w:cstheme="minorHAnsi"/>
                <w:b/>
              </w:rPr>
            </w:pPr>
            <w:r w:rsidRPr="00FB18B6">
              <w:rPr>
                <w:rFonts w:asciiTheme="minorHAnsi" w:hAnsiTheme="minorHAnsi" w:cstheme="minorHAnsi"/>
                <w:b/>
              </w:rPr>
              <w:t>Section</w:t>
            </w:r>
          </w:p>
        </w:tc>
        <w:tc>
          <w:tcPr>
            <w:tcW w:w="6866" w:type="dxa"/>
            <w:tcBorders>
              <w:left w:val="nil"/>
            </w:tcBorders>
            <w:shd w:val="clear" w:color="auto" w:fill="D9D9D9" w:themeFill="background1" w:themeFillShade="D9"/>
          </w:tcPr>
          <w:p w14:paraId="63E02A32" w14:textId="77777777" w:rsidR="00AC0CE2" w:rsidRPr="00FB18B6" w:rsidRDefault="00AC0CE2" w:rsidP="00AC0CE2">
            <w:pPr>
              <w:spacing w:before="60" w:after="60"/>
              <w:rPr>
                <w:rFonts w:asciiTheme="minorHAnsi" w:hAnsiTheme="minorHAnsi" w:cstheme="minorHAnsi"/>
                <w:b/>
              </w:rPr>
            </w:pPr>
            <w:r w:rsidRPr="00FB18B6">
              <w:rPr>
                <w:rFonts w:asciiTheme="minorHAnsi" w:hAnsiTheme="minorHAnsi" w:cstheme="minorHAnsi"/>
                <w:b/>
              </w:rPr>
              <w:t>Detail</w:t>
            </w:r>
          </w:p>
        </w:tc>
      </w:tr>
      <w:tr w:rsidR="00AC0CE2" w:rsidRPr="003B70CD" w14:paraId="50CB2A03" w14:textId="77777777" w:rsidTr="00FB18B6">
        <w:tc>
          <w:tcPr>
            <w:tcW w:w="2376" w:type="dxa"/>
            <w:tcBorders>
              <w:right w:val="nil"/>
            </w:tcBorders>
          </w:tcPr>
          <w:p w14:paraId="3BB9AE07" w14:textId="77777777" w:rsidR="00AC0CE2" w:rsidRPr="00FB18B6" w:rsidRDefault="00AC0CE2" w:rsidP="00AC0CE2">
            <w:pPr>
              <w:spacing w:before="60" w:after="60"/>
              <w:rPr>
                <w:rFonts w:asciiTheme="minorHAnsi" w:hAnsiTheme="minorHAnsi" w:cstheme="minorHAnsi"/>
              </w:rPr>
            </w:pPr>
            <w:r w:rsidRPr="00FB18B6">
              <w:rPr>
                <w:rFonts w:asciiTheme="minorHAnsi" w:hAnsiTheme="minorHAnsi" w:cstheme="minorHAnsi"/>
              </w:rPr>
              <w:t>Operating environment</w:t>
            </w:r>
          </w:p>
        </w:tc>
        <w:tc>
          <w:tcPr>
            <w:tcW w:w="6866" w:type="dxa"/>
            <w:tcBorders>
              <w:left w:val="nil"/>
            </w:tcBorders>
          </w:tcPr>
          <w:p w14:paraId="5D5621ED" w14:textId="77777777" w:rsidR="00AC0CE2" w:rsidRPr="00FB18B6" w:rsidRDefault="00AC0CE2" w:rsidP="009E7845">
            <w:pPr>
              <w:numPr>
                <w:ilvl w:val="0"/>
                <w:numId w:val="6"/>
              </w:numPr>
              <w:spacing w:before="60" w:after="60"/>
              <w:rPr>
                <w:rFonts w:asciiTheme="minorHAnsi" w:hAnsiTheme="minorHAnsi" w:cstheme="minorHAnsi"/>
              </w:rPr>
            </w:pPr>
            <w:r w:rsidRPr="00FB18B6">
              <w:rPr>
                <w:rFonts w:asciiTheme="minorHAnsi" w:hAnsiTheme="minorHAnsi" w:cstheme="minorHAnsi"/>
              </w:rPr>
              <w:t>external factors impacting on performance (e.g. regulatory constraints, competitive environment, economic and market conditions, opportunities and threats, Community Service Obligations);</w:t>
            </w:r>
          </w:p>
          <w:p w14:paraId="4C6063B4" w14:textId="77777777" w:rsidR="00AC0CE2" w:rsidRPr="00FB18B6" w:rsidRDefault="00AC0CE2" w:rsidP="009E7845">
            <w:pPr>
              <w:numPr>
                <w:ilvl w:val="0"/>
                <w:numId w:val="6"/>
              </w:numPr>
              <w:spacing w:before="60" w:after="60"/>
              <w:rPr>
                <w:rFonts w:asciiTheme="minorHAnsi" w:hAnsiTheme="minorHAnsi" w:cstheme="minorHAnsi"/>
              </w:rPr>
            </w:pPr>
            <w:r w:rsidRPr="00FB18B6">
              <w:rPr>
                <w:rFonts w:asciiTheme="minorHAnsi" w:hAnsiTheme="minorHAnsi" w:cstheme="minorHAnsi"/>
              </w:rPr>
              <w:t>internal factors impacting on performance (e.g. competitive strengths and weaknesses, organisational structure, asset condition);</w:t>
            </w:r>
          </w:p>
          <w:p w14:paraId="28DDCBBB" w14:textId="77777777" w:rsidR="00AC0CE2" w:rsidRPr="00FB18B6" w:rsidRDefault="00AC0CE2" w:rsidP="009E7845">
            <w:pPr>
              <w:numPr>
                <w:ilvl w:val="0"/>
                <w:numId w:val="6"/>
              </w:numPr>
              <w:spacing w:before="60" w:after="60"/>
              <w:rPr>
                <w:rFonts w:asciiTheme="minorHAnsi" w:hAnsiTheme="minorHAnsi" w:cstheme="minorHAnsi"/>
              </w:rPr>
            </w:pPr>
            <w:r w:rsidRPr="00FB18B6">
              <w:rPr>
                <w:rFonts w:asciiTheme="minorHAnsi" w:hAnsiTheme="minorHAnsi" w:cstheme="minorHAnsi"/>
              </w:rPr>
              <w:t>key drivers of performance</w:t>
            </w:r>
            <w:r w:rsidR="00FC0F9D">
              <w:rPr>
                <w:rFonts w:asciiTheme="minorHAnsi" w:hAnsiTheme="minorHAnsi" w:cstheme="minorHAnsi"/>
              </w:rPr>
              <w:t xml:space="preserve"> </w:t>
            </w:r>
            <w:r w:rsidRPr="00FB18B6">
              <w:rPr>
                <w:rFonts w:asciiTheme="minorHAnsi" w:hAnsiTheme="minorHAnsi" w:cstheme="minorHAnsi"/>
              </w:rPr>
              <w:t>(e.g. determinants of demand, key input costs, asset utilisation);</w:t>
            </w:r>
            <w:r w:rsidR="00FC0F9D">
              <w:rPr>
                <w:rFonts w:asciiTheme="minorHAnsi" w:hAnsiTheme="minorHAnsi" w:cstheme="minorHAnsi"/>
              </w:rPr>
              <w:t xml:space="preserve"> </w:t>
            </w:r>
            <w:r w:rsidRPr="00FB18B6">
              <w:rPr>
                <w:rFonts w:asciiTheme="minorHAnsi" w:hAnsiTheme="minorHAnsi" w:cstheme="minorHAnsi"/>
              </w:rPr>
              <w:t xml:space="preserve">and </w:t>
            </w:r>
          </w:p>
          <w:p w14:paraId="5FDD8884" w14:textId="77777777" w:rsidR="00AC0CE2" w:rsidRPr="00FB18B6" w:rsidRDefault="00AC0CE2" w:rsidP="009E7845">
            <w:pPr>
              <w:numPr>
                <w:ilvl w:val="0"/>
                <w:numId w:val="6"/>
              </w:numPr>
              <w:spacing w:before="60" w:after="60"/>
              <w:rPr>
                <w:rFonts w:asciiTheme="minorHAnsi" w:hAnsiTheme="minorHAnsi" w:cstheme="minorHAnsi"/>
              </w:rPr>
            </w:pPr>
            <w:proofErr w:type="gramStart"/>
            <w:r w:rsidRPr="00FB18B6">
              <w:rPr>
                <w:rFonts w:asciiTheme="minorHAnsi" w:hAnsiTheme="minorHAnsi" w:cstheme="minorHAnsi"/>
              </w:rPr>
              <w:t>identification</w:t>
            </w:r>
            <w:proofErr w:type="gramEnd"/>
            <w:r w:rsidRPr="00FB18B6">
              <w:rPr>
                <w:rFonts w:asciiTheme="minorHAnsi" w:hAnsiTheme="minorHAnsi" w:cstheme="minorHAnsi"/>
              </w:rPr>
              <w:t xml:space="preserve"> of internal and external risks (e.g. business risks, technological change, environmental impacts).</w:t>
            </w:r>
          </w:p>
        </w:tc>
      </w:tr>
      <w:tr w:rsidR="00AC0CE2" w:rsidRPr="003B70CD" w14:paraId="1EEDAF7D" w14:textId="77777777" w:rsidTr="00FB18B6">
        <w:tc>
          <w:tcPr>
            <w:tcW w:w="2376" w:type="dxa"/>
            <w:tcBorders>
              <w:right w:val="nil"/>
            </w:tcBorders>
          </w:tcPr>
          <w:p w14:paraId="1D178ACF" w14:textId="77777777" w:rsidR="00AC0CE2" w:rsidRPr="00FB18B6" w:rsidRDefault="00AC0CE2" w:rsidP="00AC0CE2">
            <w:pPr>
              <w:spacing w:before="60" w:after="60"/>
              <w:rPr>
                <w:rFonts w:asciiTheme="minorHAnsi" w:hAnsiTheme="minorHAnsi" w:cstheme="minorHAnsi"/>
              </w:rPr>
            </w:pPr>
            <w:r w:rsidRPr="00FB18B6">
              <w:rPr>
                <w:rFonts w:asciiTheme="minorHAnsi" w:hAnsiTheme="minorHAnsi" w:cstheme="minorHAnsi"/>
              </w:rPr>
              <w:t>Key strategies</w:t>
            </w:r>
          </w:p>
        </w:tc>
        <w:tc>
          <w:tcPr>
            <w:tcW w:w="6866" w:type="dxa"/>
            <w:tcBorders>
              <w:left w:val="nil"/>
            </w:tcBorders>
          </w:tcPr>
          <w:p w14:paraId="2B34F93F" w14:textId="77777777" w:rsidR="00AC0CE2" w:rsidRPr="00FB18B6" w:rsidRDefault="00AC0CE2" w:rsidP="009E7845">
            <w:pPr>
              <w:numPr>
                <w:ilvl w:val="0"/>
                <w:numId w:val="7"/>
              </w:numPr>
              <w:spacing w:before="60" w:after="60"/>
              <w:rPr>
                <w:rFonts w:asciiTheme="minorHAnsi" w:hAnsiTheme="minorHAnsi" w:cstheme="minorHAnsi"/>
              </w:rPr>
            </w:pPr>
            <w:r w:rsidRPr="00FB18B6">
              <w:rPr>
                <w:rFonts w:asciiTheme="minorHAnsi" w:hAnsiTheme="minorHAnsi" w:cstheme="minorHAnsi"/>
              </w:rPr>
              <w:t>the nature and scope of the business strategies to be undertaken;</w:t>
            </w:r>
          </w:p>
          <w:p w14:paraId="2A4ABBC2" w14:textId="77777777" w:rsidR="00AC0CE2" w:rsidRPr="00FB18B6" w:rsidRDefault="00AC0CE2" w:rsidP="009E7845">
            <w:pPr>
              <w:numPr>
                <w:ilvl w:val="0"/>
                <w:numId w:val="7"/>
              </w:numPr>
              <w:spacing w:before="60" w:after="60"/>
              <w:rPr>
                <w:rFonts w:asciiTheme="minorHAnsi" w:hAnsiTheme="minorHAnsi" w:cstheme="minorHAnsi"/>
              </w:rPr>
            </w:pPr>
            <w:r w:rsidRPr="00FB18B6">
              <w:rPr>
                <w:rFonts w:asciiTheme="minorHAnsi" w:hAnsiTheme="minorHAnsi" w:cstheme="minorHAnsi"/>
              </w:rPr>
              <w:t>risk and asset management strategies;</w:t>
            </w:r>
          </w:p>
          <w:p w14:paraId="1011BB1A" w14:textId="3EE7C4D6" w:rsidR="00AC0CE2" w:rsidRPr="00FB18B6" w:rsidRDefault="00AC0CE2" w:rsidP="009E7845">
            <w:pPr>
              <w:numPr>
                <w:ilvl w:val="0"/>
                <w:numId w:val="7"/>
              </w:numPr>
              <w:spacing w:before="60" w:after="60"/>
              <w:rPr>
                <w:rFonts w:asciiTheme="minorHAnsi" w:hAnsiTheme="minorHAnsi" w:cstheme="minorHAnsi"/>
              </w:rPr>
            </w:pPr>
            <w:r w:rsidRPr="00FB18B6">
              <w:rPr>
                <w:rFonts w:asciiTheme="minorHAnsi" w:hAnsiTheme="minorHAnsi" w:cstheme="minorHAnsi"/>
              </w:rPr>
              <w:t xml:space="preserve">strategies to </w:t>
            </w:r>
            <w:r w:rsidR="00BB6D36">
              <w:rPr>
                <w:rFonts w:asciiTheme="minorHAnsi" w:hAnsiTheme="minorHAnsi" w:cstheme="minorHAnsi"/>
              </w:rPr>
              <w:t xml:space="preserve">transition to </w:t>
            </w:r>
            <w:r w:rsidR="0032099D" w:rsidRPr="0032099D">
              <w:rPr>
                <w:rFonts w:asciiTheme="minorHAnsi" w:hAnsiTheme="minorHAnsi" w:cstheme="minorHAnsi"/>
              </w:rPr>
              <w:t>maintaining its investment in the TAFE institute</w:t>
            </w:r>
            <w:r w:rsidRPr="00FB18B6">
              <w:rPr>
                <w:rFonts w:asciiTheme="minorHAnsi" w:hAnsiTheme="minorHAnsi" w:cstheme="minorHAnsi"/>
              </w:rPr>
              <w:t>; and</w:t>
            </w:r>
          </w:p>
          <w:p w14:paraId="13437BB6" w14:textId="77777777" w:rsidR="00AC0CE2" w:rsidRPr="00FB18B6" w:rsidRDefault="00AC0CE2" w:rsidP="009E7845">
            <w:pPr>
              <w:numPr>
                <w:ilvl w:val="0"/>
                <w:numId w:val="7"/>
              </w:numPr>
              <w:spacing w:before="60" w:after="60"/>
              <w:rPr>
                <w:rFonts w:asciiTheme="minorHAnsi" w:hAnsiTheme="minorHAnsi" w:cstheme="minorHAnsi"/>
              </w:rPr>
            </w:pPr>
            <w:proofErr w:type="gramStart"/>
            <w:r w:rsidRPr="00FB18B6">
              <w:rPr>
                <w:rFonts w:asciiTheme="minorHAnsi" w:hAnsiTheme="minorHAnsi" w:cstheme="minorHAnsi"/>
              </w:rPr>
              <w:t>other</w:t>
            </w:r>
            <w:proofErr w:type="gramEnd"/>
            <w:r w:rsidRPr="00FB18B6">
              <w:rPr>
                <w:rFonts w:asciiTheme="minorHAnsi" w:hAnsiTheme="minorHAnsi" w:cstheme="minorHAnsi"/>
              </w:rPr>
              <w:t xml:space="preserve"> strategies (e.g. pricing, marketing and customer service).</w:t>
            </w:r>
          </w:p>
        </w:tc>
      </w:tr>
      <w:tr w:rsidR="00AC0CE2" w:rsidRPr="003B70CD" w14:paraId="7AEAB851" w14:textId="77777777" w:rsidTr="00FB18B6">
        <w:tc>
          <w:tcPr>
            <w:tcW w:w="2376" w:type="dxa"/>
            <w:tcBorders>
              <w:right w:val="nil"/>
            </w:tcBorders>
          </w:tcPr>
          <w:p w14:paraId="1F7214FF" w14:textId="77777777" w:rsidR="00AC0CE2" w:rsidRPr="00FB18B6" w:rsidRDefault="00AC0CE2" w:rsidP="00AC0CE2">
            <w:pPr>
              <w:spacing w:before="60" w:after="60"/>
              <w:rPr>
                <w:rFonts w:asciiTheme="minorHAnsi" w:hAnsiTheme="minorHAnsi" w:cstheme="minorHAnsi"/>
              </w:rPr>
            </w:pPr>
            <w:r w:rsidRPr="00FB18B6">
              <w:rPr>
                <w:rFonts w:asciiTheme="minorHAnsi" w:hAnsiTheme="minorHAnsi" w:cstheme="minorHAnsi"/>
              </w:rPr>
              <w:t>Capital expenditure</w:t>
            </w:r>
          </w:p>
          <w:p w14:paraId="769C3228" w14:textId="77777777" w:rsidR="00AC0CE2" w:rsidRPr="00FB18B6" w:rsidRDefault="00AC0CE2" w:rsidP="00AC0CE2">
            <w:pPr>
              <w:spacing w:before="60" w:after="60"/>
              <w:rPr>
                <w:rFonts w:asciiTheme="minorHAnsi" w:hAnsiTheme="minorHAnsi" w:cstheme="minorHAnsi"/>
              </w:rPr>
            </w:pPr>
          </w:p>
        </w:tc>
        <w:tc>
          <w:tcPr>
            <w:tcW w:w="6866" w:type="dxa"/>
            <w:tcBorders>
              <w:left w:val="nil"/>
            </w:tcBorders>
          </w:tcPr>
          <w:p w14:paraId="613D1939" w14:textId="77777777" w:rsidR="00AC0CE2" w:rsidRPr="00FB18B6" w:rsidRDefault="00AC0CE2" w:rsidP="009E7845">
            <w:pPr>
              <w:numPr>
                <w:ilvl w:val="0"/>
                <w:numId w:val="7"/>
              </w:numPr>
              <w:spacing w:before="60" w:after="60"/>
              <w:rPr>
                <w:rFonts w:asciiTheme="minorHAnsi" w:hAnsiTheme="minorHAnsi" w:cstheme="minorHAnsi"/>
              </w:rPr>
            </w:pPr>
            <w:r w:rsidRPr="00FB18B6">
              <w:rPr>
                <w:rFonts w:asciiTheme="minorHAnsi" w:hAnsiTheme="minorHAnsi" w:cstheme="minorHAnsi"/>
              </w:rPr>
              <w:t>outline of capital expenditure program, including:</w:t>
            </w:r>
          </w:p>
          <w:p w14:paraId="7FFD80BC" w14:textId="77777777" w:rsidR="00AC0CE2" w:rsidRPr="00FB18B6" w:rsidRDefault="00AC0CE2" w:rsidP="009E7845">
            <w:pPr>
              <w:numPr>
                <w:ilvl w:val="1"/>
                <w:numId w:val="7"/>
              </w:numPr>
              <w:spacing w:before="60" w:after="60"/>
              <w:rPr>
                <w:rFonts w:asciiTheme="minorHAnsi" w:hAnsiTheme="minorHAnsi" w:cstheme="minorHAnsi"/>
              </w:rPr>
            </w:pPr>
            <w:r w:rsidRPr="00FB18B6">
              <w:rPr>
                <w:rFonts w:asciiTheme="minorHAnsi" w:hAnsiTheme="minorHAnsi" w:cstheme="minorHAnsi"/>
              </w:rPr>
              <w:t xml:space="preserve">a breakdown of payments for each year of the planning period; and </w:t>
            </w:r>
          </w:p>
          <w:p w14:paraId="3B40B51E" w14:textId="77777777" w:rsidR="00AC0CE2" w:rsidRPr="00FB18B6" w:rsidRDefault="00FC0F9D" w:rsidP="009E7845">
            <w:pPr>
              <w:numPr>
                <w:ilvl w:val="1"/>
                <w:numId w:val="7"/>
              </w:numPr>
              <w:spacing w:before="60" w:after="60"/>
              <w:rPr>
                <w:rFonts w:asciiTheme="minorHAnsi" w:hAnsiTheme="minorHAnsi" w:cstheme="minorHAnsi"/>
              </w:rPr>
            </w:pPr>
            <w:r>
              <w:rPr>
                <w:rFonts w:asciiTheme="minorHAnsi" w:hAnsiTheme="minorHAnsi" w:cstheme="minorHAnsi"/>
              </w:rPr>
              <w:t>financing requirements; and</w:t>
            </w:r>
          </w:p>
          <w:p w14:paraId="3C710D73" w14:textId="77777777" w:rsidR="00AC0CE2" w:rsidRPr="00FB18B6" w:rsidRDefault="00AC0CE2" w:rsidP="009E7845">
            <w:pPr>
              <w:numPr>
                <w:ilvl w:val="0"/>
                <w:numId w:val="7"/>
              </w:numPr>
              <w:spacing w:before="60" w:after="60"/>
              <w:rPr>
                <w:rFonts w:asciiTheme="minorHAnsi" w:hAnsiTheme="minorHAnsi" w:cstheme="minorHAnsi"/>
              </w:rPr>
            </w:pPr>
            <w:r w:rsidRPr="00FB18B6">
              <w:rPr>
                <w:rFonts w:asciiTheme="minorHAnsi" w:hAnsiTheme="minorHAnsi" w:cstheme="minorHAnsi"/>
              </w:rPr>
              <w:t>for each major capital expenditure proposal</w:t>
            </w:r>
            <w:r w:rsidR="00FC0F9D">
              <w:rPr>
                <w:rFonts w:asciiTheme="minorHAnsi" w:hAnsiTheme="minorHAnsi" w:cstheme="minorHAnsi"/>
              </w:rPr>
              <w:t>:</w:t>
            </w:r>
            <w:r w:rsidRPr="00FB18B6">
              <w:rPr>
                <w:rFonts w:asciiTheme="minorHAnsi" w:hAnsiTheme="minorHAnsi" w:cstheme="minorHAnsi"/>
              </w:rPr>
              <w:t xml:space="preserve"> </w:t>
            </w:r>
          </w:p>
          <w:p w14:paraId="581DCE8A" w14:textId="77777777" w:rsidR="00AC0CE2" w:rsidRPr="00FB18B6" w:rsidRDefault="00AC0CE2" w:rsidP="009E7845">
            <w:pPr>
              <w:numPr>
                <w:ilvl w:val="1"/>
                <w:numId w:val="7"/>
              </w:numPr>
              <w:spacing w:before="60" w:after="60"/>
              <w:rPr>
                <w:rFonts w:asciiTheme="minorHAnsi" w:hAnsiTheme="minorHAnsi" w:cstheme="minorHAnsi"/>
              </w:rPr>
            </w:pPr>
            <w:r w:rsidRPr="00FB18B6">
              <w:rPr>
                <w:rFonts w:asciiTheme="minorHAnsi" w:hAnsiTheme="minorHAnsi" w:cstheme="minorHAnsi"/>
              </w:rPr>
              <w:t>the proposal’s total estimated investment</w:t>
            </w:r>
            <w:r w:rsidR="00B6257E">
              <w:rPr>
                <w:rFonts w:asciiTheme="minorHAnsi" w:hAnsiTheme="minorHAnsi" w:cstheme="minorHAnsi"/>
              </w:rPr>
              <w:t>;</w:t>
            </w:r>
          </w:p>
          <w:p w14:paraId="0A897534" w14:textId="77777777" w:rsidR="00AC0CE2" w:rsidRPr="00FB18B6" w:rsidRDefault="00AC0CE2" w:rsidP="009E7845">
            <w:pPr>
              <w:numPr>
                <w:ilvl w:val="1"/>
                <w:numId w:val="7"/>
              </w:numPr>
              <w:spacing w:before="60" w:after="60"/>
              <w:rPr>
                <w:rFonts w:asciiTheme="minorHAnsi" w:hAnsiTheme="minorHAnsi" w:cstheme="minorHAnsi"/>
              </w:rPr>
            </w:pPr>
            <w:r w:rsidRPr="00FB18B6">
              <w:rPr>
                <w:rFonts w:asciiTheme="minorHAnsi" w:hAnsiTheme="minorHAnsi" w:cstheme="minorHAnsi"/>
              </w:rPr>
              <w:t>aggregate capital expenditure in prior years;</w:t>
            </w:r>
          </w:p>
          <w:p w14:paraId="56620309" w14:textId="77777777" w:rsidR="00AC0CE2" w:rsidRPr="00FB18B6" w:rsidRDefault="00AC0CE2" w:rsidP="009E7845">
            <w:pPr>
              <w:numPr>
                <w:ilvl w:val="1"/>
                <w:numId w:val="7"/>
              </w:numPr>
              <w:spacing w:before="60" w:after="60"/>
              <w:rPr>
                <w:rFonts w:asciiTheme="minorHAnsi" w:hAnsiTheme="minorHAnsi" w:cstheme="minorHAnsi"/>
              </w:rPr>
            </w:pPr>
            <w:r w:rsidRPr="00FB18B6">
              <w:rPr>
                <w:rFonts w:asciiTheme="minorHAnsi" w:hAnsiTheme="minorHAnsi" w:cstheme="minorHAnsi"/>
              </w:rPr>
              <w:t>forecast capital expenditure for each year of the planning period</w:t>
            </w:r>
            <w:r w:rsidR="00B6257E">
              <w:rPr>
                <w:rFonts w:asciiTheme="minorHAnsi" w:hAnsiTheme="minorHAnsi" w:cstheme="minorHAnsi"/>
              </w:rPr>
              <w:t>;</w:t>
            </w:r>
            <w:r w:rsidRPr="00FB18B6">
              <w:rPr>
                <w:rFonts w:asciiTheme="minorHAnsi" w:hAnsiTheme="minorHAnsi" w:cstheme="minorHAnsi"/>
              </w:rPr>
              <w:t xml:space="preserve"> and</w:t>
            </w:r>
          </w:p>
          <w:p w14:paraId="091B647D" w14:textId="77777777" w:rsidR="00AC0CE2" w:rsidRPr="00FB18B6" w:rsidRDefault="00AC0CE2" w:rsidP="009E7845">
            <w:pPr>
              <w:numPr>
                <w:ilvl w:val="1"/>
                <w:numId w:val="7"/>
              </w:numPr>
              <w:spacing w:before="60" w:after="60"/>
              <w:rPr>
                <w:rFonts w:asciiTheme="minorHAnsi" w:hAnsiTheme="minorHAnsi" w:cstheme="minorHAnsi"/>
              </w:rPr>
            </w:pPr>
            <w:proofErr w:type="gramStart"/>
            <w:r w:rsidRPr="00FB18B6">
              <w:rPr>
                <w:rFonts w:asciiTheme="minorHAnsi" w:hAnsiTheme="minorHAnsi" w:cstheme="minorHAnsi"/>
              </w:rPr>
              <w:t>financing</w:t>
            </w:r>
            <w:proofErr w:type="gramEnd"/>
            <w:r w:rsidRPr="00FB18B6">
              <w:rPr>
                <w:rFonts w:asciiTheme="minorHAnsi" w:hAnsiTheme="minorHAnsi" w:cstheme="minorHAnsi"/>
              </w:rPr>
              <w:t xml:space="preserve"> requirements</w:t>
            </w:r>
            <w:r w:rsidR="00B6257E">
              <w:rPr>
                <w:rFonts w:asciiTheme="minorHAnsi" w:hAnsiTheme="minorHAnsi" w:cstheme="minorHAnsi"/>
              </w:rPr>
              <w:t>.</w:t>
            </w:r>
          </w:p>
        </w:tc>
      </w:tr>
      <w:tr w:rsidR="00AC0CE2" w:rsidRPr="003B70CD" w14:paraId="4C148B8D" w14:textId="77777777" w:rsidTr="00B6257E">
        <w:trPr>
          <w:cantSplit/>
        </w:trPr>
        <w:tc>
          <w:tcPr>
            <w:tcW w:w="2376" w:type="dxa"/>
            <w:tcBorders>
              <w:right w:val="nil"/>
            </w:tcBorders>
          </w:tcPr>
          <w:p w14:paraId="19AE0260" w14:textId="77777777" w:rsidR="00AC0CE2" w:rsidRPr="00FB18B6" w:rsidRDefault="00AC0CE2" w:rsidP="00AC0CE2">
            <w:pPr>
              <w:spacing w:before="60" w:after="60"/>
              <w:rPr>
                <w:rFonts w:asciiTheme="minorHAnsi" w:hAnsiTheme="minorHAnsi" w:cstheme="minorHAnsi"/>
              </w:rPr>
            </w:pPr>
            <w:r w:rsidRPr="00FB18B6">
              <w:rPr>
                <w:rFonts w:asciiTheme="minorHAnsi" w:hAnsiTheme="minorHAnsi" w:cstheme="minorHAnsi"/>
              </w:rPr>
              <w:lastRenderedPageBreak/>
              <w:t>Financial information</w:t>
            </w:r>
          </w:p>
        </w:tc>
        <w:tc>
          <w:tcPr>
            <w:tcW w:w="6866" w:type="dxa"/>
            <w:tcBorders>
              <w:left w:val="nil"/>
            </w:tcBorders>
          </w:tcPr>
          <w:p w14:paraId="439DD599" w14:textId="77777777" w:rsidR="00AC0CE2" w:rsidRPr="00FB18B6" w:rsidRDefault="000317FC" w:rsidP="009E7845">
            <w:pPr>
              <w:numPr>
                <w:ilvl w:val="0"/>
                <w:numId w:val="8"/>
              </w:numPr>
              <w:spacing w:before="60" w:after="60"/>
              <w:rPr>
                <w:rFonts w:asciiTheme="minorHAnsi" w:hAnsiTheme="minorHAnsi" w:cstheme="minorHAnsi"/>
              </w:rPr>
            </w:pPr>
            <w:r>
              <w:rPr>
                <w:rFonts w:asciiTheme="minorHAnsi" w:hAnsiTheme="minorHAnsi" w:cstheme="minorHAnsi"/>
              </w:rPr>
              <w:t xml:space="preserve">forecast </w:t>
            </w:r>
            <w:r w:rsidR="00AC0CE2" w:rsidRPr="00FB18B6">
              <w:rPr>
                <w:rFonts w:asciiTheme="minorHAnsi" w:hAnsiTheme="minorHAnsi" w:cstheme="minorHAnsi"/>
              </w:rPr>
              <w:t>financial statements in nominal dollars;</w:t>
            </w:r>
          </w:p>
          <w:p w14:paraId="19181551" w14:textId="77777777" w:rsidR="00AC0CE2" w:rsidRPr="00FB18B6" w:rsidRDefault="00AC0CE2" w:rsidP="009E7845">
            <w:pPr>
              <w:numPr>
                <w:ilvl w:val="0"/>
                <w:numId w:val="8"/>
              </w:numPr>
              <w:spacing w:before="60" w:after="60"/>
              <w:rPr>
                <w:rFonts w:asciiTheme="minorHAnsi" w:hAnsiTheme="minorHAnsi" w:cstheme="minorHAnsi"/>
              </w:rPr>
            </w:pPr>
            <w:r w:rsidRPr="00FB18B6">
              <w:rPr>
                <w:rFonts w:asciiTheme="minorHAnsi" w:hAnsiTheme="minorHAnsi" w:cstheme="minorHAnsi"/>
              </w:rPr>
              <w:t>financing requirements including borrowing limits and whether borrowings are new or refinanced; and</w:t>
            </w:r>
          </w:p>
          <w:p w14:paraId="4BF689E2" w14:textId="77777777" w:rsidR="00AC0CE2" w:rsidRPr="00FB18B6" w:rsidRDefault="00AC0CE2" w:rsidP="009E7845">
            <w:pPr>
              <w:numPr>
                <w:ilvl w:val="0"/>
                <w:numId w:val="8"/>
              </w:numPr>
              <w:spacing w:before="60" w:after="60"/>
              <w:rPr>
                <w:rFonts w:asciiTheme="minorHAnsi" w:hAnsiTheme="minorHAnsi" w:cstheme="minorHAnsi"/>
              </w:rPr>
            </w:pPr>
            <w:proofErr w:type="gramStart"/>
            <w:r w:rsidRPr="00FB18B6">
              <w:rPr>
                <w:rFonts w:asciiTheme="minorHAnsi" w:hAnsiTheme="minorHAnsi" w:cstheme="minorHAnsi"/>
              </w:rPr>
              <w:t>sensitivity</w:t>
            </w:r>
            <w:proofErr w:type="gramEnd"/>
            <w:r w:rsidRPr="00FB18B6">
              <w:rPr>
                <w:rFonts w:asciiTheme="minorHAnsi" w:hAnsiTheme="minorHAnsi" w:cstheme="minorHAnsi"/>
              </w:rPr>
              <w:t xml:space="preserve"> analysis including high and low scenarios for key variables</w:t>
            </w:r>
            <w:r w:rsidR="000317FC">
              <w:rPr>
                <w:rFonts w:asciiTheme="minorHAnsi" w:hAnsiTheme="minorHAnsi" w:cstheme="minorHAnsi"/>
              </w:rPr>
              <w:t>.</w:t>
            </w:r>
          </w:p>
        </w:tc>
      </w:tr>
      <w:tr w:rsidR="00AC0CE2" w:rsidRPr="003B70CD" w14:paraId="36775368" w14:textId="77777777" w:rsidTr="00FB18B6">
        <w:tc>
          <w:tcPr>
            <w:tcW w:w="2376" w:type="dxa"/>
            <w:tcBorders>
              <w:right w:val="nil"/>
            </w:tcBorders>
          </w:tcPr>
          <w:p w14:paraId="4B3A8201" w14:textId="77777777" w:rsidR="00AC0CE2" w:rsidRPr="00FB18B6" w:rsidRDefault="00FC0F9D" w:rsidP="00AC0CE2">
            <w:pPr>
              <w:spacing w:before="60" w:after="60"/>
              <w:rPr>
                <w:rFonts w:asciiTheme="minorHAnsi" w:hAnsiTheme="minorHAnsi" w:cstheme="minorHAnsi"/>
              </w:rPr>
            </w:pPr>
            <w:r>
              <w:rPr>
                <w:rFonts w:asciiTheme="minorHAnsi" w:hAnsiTheme="minorHAnsi" w:cstheme="minorHAnsi"/>
              </w:rPr>
              <w:t>Key Performance Indicators (</w:t>
            </w:r>
            <w:r w:rsidR="00AC0CE2" w:rsidRPr="00FB18B6">
              <w:rPr>
                <w:rFonts w:asciiTheme="minorHAnsi" w:hAnsiTheme="minorHAnsi" w:cstheme="minorHAnsi"/>
              </w:rPr>
              <w:t>KPIs</w:t>
            </w:r>
            <w:r>
              <w:rPr>
                <w:rFonts w:asciiTheme="minorHAnsi" w:hAnsiTheme="minorHAnsi" w:cstheme="minorHAnsi"/>
              </w:rPr>
              <w:t>)</w:t>
            </w:r>
          </w:p>
        </w:tc>
        <w:tc>
          <w:tcPr>
            <w:tcW w:w="6866" w:type="dxa"/>
            <w:tcBorders>
              <w:left w:val="nil"/>
            </w:tcBorders>
          </w:tcPr>
          <w:p w14:paraId="1E9A3BC7" w14:textId="77777777" w:rsidR="00AC0CE2" w:rsidRPr="00FB18B6" w:rsidRDefault="00AC0CE2" w:rsidP="009E7845">
            <w:pPr>
              <w:numPr>
                <w:ilvl w:val="0"/>
                <w:numId w:val="8"/>
              </w:numPr>
              <w:spacing w:before="60" w:after="60"/>
              <w:rPr>
                <w:rFonts w:asciiTheme="minorHAnsi" w:hAnsiTheme="minorHAnsi" w:cstheme="minorHAnsi"/>
              </w:rPr>
            </w:pPr>
            <w:r w:rsidRPr="00FB18B6">
              <w:rPr>
                <w:rFonts w:asciiTheme="minorHAnsi" w:hAnsiTheme="minorHAnsi" w:cstheme="minorHAnsi"/>
              </w:rPr>
              <w:t>financial and non-financial targets; and</w:t>
            </w:r>
          </w:p>
          <w:p w14:paraId="1DF40BD9" w14:textId="77777777" w:rsidR="00AC0CE2" w:rsidRPr="00FB18B6" w:rsidRDefault="00AC0CE2" w:rsidP="009E7845">
            <w:pPr>
              <w:numPr>
                <w:ilvl w:val="0"/>
                <w:numId w:val="8"/>
              </w:numPr>
              <w:spacing w:before="60" w:after="60"/>
              <w:rPr>
                <w:rFonts w:asciiTheme="minorHAnsi" w:hAnsiTheme="minorHAnsi" w:cstheme="minorHAnsi"/>
              </w:rPr>
            </w:pPr>
            <w:proofErr w:type="gramStart"/>
            <w:r w:rsidRPr="00FB18B6">
              <w:rPr>
                <w:rFonts w:asciiTheme="minorHAnsi" w:hAnsiTheme="minorHAnsi" w:cstheme="minorHAnsi"/>
              </w:rPr>
              <w:t>clear</w:t>
            </w:r>
            <w:proofErr w:type="gramEnd"/>
            <w:r w:rsidRPr="00FB18B6">
              <w:rPr>
                <w:rFonts w:asciiTheme="minorHAnsi" w:hAnsiTheme="minorHAnsi" w:cstheme="minorHAnsi"/>
              </w:rPr>
              <w:t xml:space="preserve"> linkages between KPIs and key strategies.</w:t>
            </w:r>
          </w:p>
        </w:tc>
      </w:tr>
      <w:tr w:rsidR="00AC0CE2" w:rsidRPr="003B70CD" w14:paraId="512F076F" w14:textId="77777777" w:rsidTr="00FB18B6">
        <w:tc>
          <w:tcPr>
            <w:tcW w:w="2376" w:type="dxa"/>
            <w:tcBorders>
              <w:right w:val="nil"/>
            </w:tcBorders>
          </w:tcPr>
          <w:p w14:paraId="1AC792E0" w14:textId="77777777" w:rsidR="00AC0CE2" w:rsidRPr="00FB18B6" w:rsidRDefault="00AC0CE2" w:rsidP="00AC0CE2">
            <w:pPr>
              <w:spacing w:before="60" w:after="60"/>
              <w:rPr>
                <w:rFonts w:asciiTheme="minorHAnsi" w:hAnsiTheme="minorHAnsi" w:cstheme="minorHAnsi"/>
              </w:rPr>
            </w:pPr>
            <w:r w:rsidRPr="00FB18B6">
              <w:rPr>
                <w:rFonts w:asciiTheme="minorHAnsi" w:hAnsiTheme="minorHAnsi" w:cstheme="minorHAnsi"/>
              </w:rPr>
              <w:t>Planning assumptions</w:t>
            </w:r>
            <w:r w:rsidRPr="00FB18B6">
              <w:rPr>
                <w:rFonts w:asciiTheme="minorHAnsi" w:hAnsiTheme="minorHAnsi" w:cstheme="minorHAnsi"/>
                <w:vertAlign w:val="superscript"/>
              </w:rPr>
              <w:footnoteReference w:id="2"/>
            </w:r>
          </w:p>
          <w:p w14:paraId="755A69E6" w14:textId="77777777" w:rsidR="00AC0CE2" w:rsidRPr="00FB18B6" w:rsidRDefault="00AC0CE2" w:rsidP="00AC0CE2">
            <w:pPr>
              <w:spacing w:before="60" w:after="60"/>
              <w:rPr>
                <w:rFonts w:asciiTheme="minorHAnsi" w:hAnsiTheme="minorHAnsi" w:cstheme="minorHAnsi"/>
              </w:rPr>
            </w:pPr>
          </w:p>
        </w:tc>
        <w:tc>
          <w:tcPr>
            <w:tcW w:w="6866" w:type="dxa"/>
            <w:tcBorders>
              <w:left w:val="nil"/>
            </w:tcBorders>
          </w:tcPr>
          <w:p w14:paraId="289D842F" w14:textId="77777777" w:rsidR="00AC0CE2" w:rsidRPr="00FB18B6" w:rsidRDefault="00AC0CE2" w:rsidP="009E7845">
            <w:pPr>
              <w:numPr>
                <w:ilvl w:val="0"/>
                <w:numId w:val="8"/>
              </w:numPr>
              <w:spacing w:before="60" w:after="60"/>
              <w:rPr>
                <w:rFonts w:asciiTheme="minorHAnsi" w:hAnsiTheme="minorHAnsi" w:cstheme="minorHAnsi"/>
              </w:rPr>
            </w:pPr>
            <w:r w:rsidRPr="00FB18B6">
              <w:rPr>
                <w:rFonts w:asciiTheme="minorHAnsi" w:hAnsiTheme="minorHAnsi" w:cstheme="minorHAnsi"/>
              </w:rPr>
              <w:t>pricing;</w:t>
            </w:r>
          </w:p>
          <w:p w14:paraId="3DE4BAA5" w14:textId="77777777" w:rsidR="00AC0CE2" w:rsidRPr="00FB18B6" w:rsidRDefault="00AC0CE2" w:rsidP="009E7845">
            <w:pPr>
              <w:numPr>
                <w:ilvl w:val="0"/>
                <w:numId w:val="8"/>
              </w:numPr>
              <w:spacing w:before="60" w:after="60"/>
              <w:rPr>
                <w:rFonts w:asciiTheme="minorHAnsi" w:hAnsiTheme="minorHAnsi" w:cstheme="minorHAnsi"/>
              </w:rPr>
            </w:pPr>
            <w:r w:rsidRPr="00FB18B6">
              <w:rPr>
                <w:rFonts w:asciiTheme="minorHAnsi" w:hAnsiTheme="minorHAnsi" w:cstheme="minorHAnsi"/>
              </w:rPr>
              <w:t>interest rates;</w:t>
            </w:r>
          </w:p>
          <w:p w14:paraId="0AD90EEE" w14:textId="77777777" w:rsidR="00AC0CE2" w:rsidRPr="00FB18B6" w:rsidRDefault="00AC0CE2" w:rsidP="009E7845">
            <w:pPr>
              <w:numPr>
                <w:ilvl w:val="0"/>
                <w:numId w:val="8"/>
              </w:numPr>
              <w:spacing w:before="60" w:after="60"/>
              <w:rPr>
                <w:rFonts w:asciiTheme="minorHAnsi" w:hAnsiTheme="minorHAnsi" w:cstheme="minorHAnsi"/>
              </w:rPr>
            </w:pPr>
            <w:r w:rsidRPr="00FB18B6">
              <w:rPr>
                <w:rFonts w:asciiTheme="minorHAnsi" w:hAnsiTheme="minorHAnsi" w:cstheme="minorHAnsi"/>
              </w:rPr>
              <w:t>labour and other input costs;</w:t>
            </w:r>
          </w:p>
          <w:p w14:paraId="441E82C6" w14:textId="77777777" w:rsidR="00AC0CE2" w:rsidRPr="00FB18B6" w:rsidRDefault="002D57F0" w:rsidP="009E7845">
            <w:pPr>
              <w:numPr>
                <w:ilvl w:val="0"/>
                <w:numId w:val="8"/>
              </w:numPr>
              <w:spacing w:before="60" w:after="60"/>
              <w:rPr>
                <w:rFonts w:asciiTheme="minorHAnsi" w:hAnsiTheme="minorHAnsi" w:cstheme="minorHAnsi"/>
              </w:rPr>
            </w:pPr>
            <w:r>
              <w:rPr>
                <w:rFonts w:asciiTheme="minorHAnsi" w:hAnsiTheme="minorHAnsi" w:cstheme="minorHAnsi"/>
              </w:rPr>
              <w:t>economic outlook;</w:t>
            </w:r>
          </w:p>
          <w:p w14:paraId="618BB640" w14:textId="77777777" w:rsidR="00AC0CE2" w:rsidRPr="00FB18B6" w:rsidRDefault="002D57F0" w:rsidP="009E7845">
            <w:pPr>
              <w:numPr>
                <w:ilvl w:val="0"/>
                <w:numId w:val="8"/>
              </w:numPr>
              <w:spacing w:before="60" w:after="60"/>
              <w:rPr>
                <w:rFonts w:asciiTheme="minorHAnsi" w:hAnsiTheme="minorHAnsi" w:cstheme="minorHAnsi"/>
              </w:rPr>
            </w:pPr>
            <w:r>
              <w:rPr>
                <w:rFonts w:asciiTheme="minorHAnsi" w:hAnsiTheme="minorHAnsi" w:cstheme="minorHAnsi"/>
              </w:rPr>
              <w:t>climatic conditions; and</w:t>
            </w:r>
          </w:p>
          <w:p w14:paraId="47DBAAAA" w14:textId="77777777" w:rsidR="00AC0CE2" w:rsidRPr="00FB18B6" w:rsidRDefault="00AC0CE2" w:rsidP="00BA5F13">
            <w:pPr>
              <w:numPr>
                <w:ilvl w:val="0"/>
                <w:numId w:val="8"/>
              </w:numPr>
              <w:spacing w:before="60" w:after="60"/>
              <w:rPr>
                <w:rFonts w:asciiTheme="minorHAnsi" w:hAnsiTheme="minorHAnsi" w:cstheme="minorHAnsi"/>
              </w:rPr>
            </w:pPr>
            <w:proofErr w:type="gramStart"/>
            <w:r w:rsidRPr="00FB18B6">
              <w:rPr>
                <w:rFonts w:asciiTheme="minorHAnsi" w:hAnsiTheme="minorHAnsi" w:cstheme="minorHAnsi"/>
              </w:rPr>
              <w:t>product</w:t>
            </w:r>
            <w:proofErr w:type="gramEnd"/>
            <w:r w:rsidRPr="00FB18B6">
              <w:rPr>
                <w:rFonts w:asciiTheme="minorHAnsi" w:hAnsiTheme="minorHAnsi" w:cstheme="minorHAnsi"/>
              </w:rPr>
              <w:t xml:space="preserve"> demand and supply forecasts</w:t>
            </w:r>
            <w:r w:rsidR="002D57F0">
              <w:rPr>
                <w:rFonts w:asciiTheme="minorHAnsi" w:hAnsiTheme="minorHAnsi" w:cstheme="minorHAnsi"/>
              </w:rPr>
              <w:t>.</w:t>
            </w:r>
          </w:p>
        </w:tc>
      </w:tr>
    </w:tbl>
    <w:p w14:paraId="143D18B3" w14:textId="77777777" w:rsidR="00A54761" w:rsidRDefault="00A54761" w:rsidP="00AC0CE2">
      <w:pPr>
        <w:ind w:left="720"/>
        <w:rPr>
          <w:rFonts w:ascii="Calibri" w:hAnsi="Calibri" w:cs="Calibri"/>
        </w:rPr>
      </w:pPr>
    </w:p>
    <w:p w14:paraId="06E949AC" w14:textId="7DB12C57" w:rsidR="005754B6" w:rsidRPr="004307BC" w:rsidRDefault="005754B6" w:rsidP="009E7845">
      <w:pPr>
        <w:numPr>
          <w:ilvl w:val="0"/>
          <w:numId w:val="5"/>
        </w:numPr>
        <w:rPr>
          <w:rFonts w:ascii="Calibri" w:hAnsi="Calibri" w:cs="Calibri"/>
        </w:rPr>
      </w:pPr>
      <w:r w:rsidRPr="004307BC">
        <w:rPr>
          <w:rFonts w:ascii="Calibri" w:hAnsi="Calibri" w:cs="Calibri"/>
        </w:rPr>
        <w:t>The Board must prepare and submit a strategic plan to the Minister in accordance with section 3.1.18A of the Act. The strategic plan is</w:t>
      </w:r>
      <w:r w:rsidR="005C1FEA">
        <w:rPr>
          <w:rFonts w:ascii="Calibri" w:hAnsi="Calibri" w:cs="Calibri"/>
        </w:rPr>
        <w:t xml:space="preserve"> to be</w:t>
      </w:r>
      <w:r w:rsidRPr="004307BC">
        <w:rPr>
          <w:rFonts w:ascii="Calibri" w:hAnsi="Calibri" w:cs="Calibri"/>
        </w:rPr>
        <w:t xml:space="preserve"> submitted on a commercial in confidence basis.</w:t>
      </w:r>
    </w:p>
    <w:p w14:paraId="3EBBF944" w14:textId="77777777" w:rsidR="005754B6" w:rsidRPr="00E649B4" w:rsidRDefault="005754B6" w:rsidP="005754B6">
      <w:pPr>
        <w:ind w:left="1440"/>
        <w:rPr>
          <w:rFonts w:ascii="Calibri" w:hAnsi="Calibri" w:cs="Calibri"/>
        </w:rPr>
      </w:pPr>
    </w:p>
    <w:p w14:paraId="4C567EDE" w14:textId="77777777" w:rsidR="0089294C" w:rsidRDefault="005754B6" w:rsidP="009E7845">
      <w:pPr>
        <w:numPr>
          <w:ilvl w:val="0"/>
          <w:numId w:val="5"/>
        </w:numPr>
        <w:rPr>
          <w:rFonts w:ascii="Calibri" w:hAnsi="Calibri" w:cs="Calibri"/>
        </w:rPr>
      </w:pPr>
      <w:r>
        <w:rPr>
          <w:rFonts w:ascii="Calibri" w:hAnsi="Calibri" w:cs="Calibri"/>
        </w:rPr>
        <w:t>T</w:t>
      </w:r>
      <w:r w:rsidR="0089294C">
        <w:rPr>
          <w:rFonts w:ascii="Calibri" w:hAnsi="Calibri" w:cs="Calibri"/>
        </w:rPr>
        <w:t xml:space="preserve">he Minister </w:t>
      </w:r>
      <w:r w:rsidR="00A00C95">
        <w:rPr>
          <w:rFonts w:ascii="Calibri" w:hAnsi="Calibri" w:cs="Calibri"/>
        </w:rPr>
        <w:t xml:space="preserve">or delegate </w:t>
      </w:r>
      <w:r w:rsidR="0089294C">
        <w:rPr>
          <w:rFonts w:ascii="Calibri" w:hAnsi="Calibri" w:cs="Calibri"/>
        </w:rPr>
        <w:t xml:space="preserve">may elect to meet the Board prior to accepting </w:t>
      </w:r>
      <w:r w:rsidR="00737F6D">
        <w:rPr>
          <w:rFonts w:ascii="Calibri" w:hAnsi="Calibri" w:cs="Calibri"/>
        </w:rPr>
        <w:t xml:space="preserve">or not accepting </w:t>
      </w:r>
      <w:r w:rsidR="0089294C">
        <w:rPr>
          <w:rFonts w:ascii="Calibri" w:hAnsi="Calibri" w:cs="Calibri"/>
        </w:rPr>
        <w:t>the strategic plan</w:t>
      </w:r>
      <w:r w:rsidR="00DE7B4D">
        <w:rPr>
          <w:rFonts w:ascii="Calibri" w:hAnsi="Calibri" w:cs="Calibri"/>
        </w:rPr>
        <w:t xml:space="preserve"> and may contact the TAFE institute with questions of clarification</w:t>
      </w:r>
      <w:r w:rsidR="0089294C">
        <w:rPr>
          <w:rFonts w:ascii="Calibri" w:hAnsi="Calibri" w:cs="Calibri"/>
        </w:rPr>
        <w:t>.</w:t>
      </w:r>
    </w:p>
    <w:p w14:paraId="2D4DEA55" w14:textId="77777777" w:rsidR="0089294C" w:rsidRDefault="0089294C" w:rsidP="0089294C">
      <w:pPr>
        <w:ind w:left="720"/>
        <w:rPr>
          <w:rFonts w:ascii="Calibri" w:hAnsi="Calibri" w:cs="Calibri"/>
        </w:rPr>
      </w:pPr>
    </w:p>
    <w:p w14:paraId="212396FF" w14:textId="77777777" w:rsidR="00BB3227" w:rsidRDefault="005754B6" w:rsidP="009E7845">
      <w:pPr>
        <w:numPr>
          <w:ilvl w:val="0"/>
          <w:numId w:val="5"/>
        </w:numPr>
        <w:rPr>
          <w:rFonts w:ascii="Calibri" w:hAnsi="Calibri" w:cs="Calibri"/>
        </w:rPr>
      </w:pPr>
      <w:r>
        <w:rPr>
          <w:rFonts w:ascii="Calibri" w:hAnsi="Calibri" w:cs="Calibri"/>
        </w:rPr>
        <w:t>In accordance with section 3.1.18A(3)</w:t>
      </w:r>
      <w:r w:rsidR="00FC0F9D">
        <w:rPr>
          <w:rFonts w:ascii="Calibri" w:hAnsi="Calibri" w:cs="Calibri"/>
        </w:rPr>
        <w:t xml:space="preserve"> of the Act</w:t>
      </w:r>
      <w:r>
        <w:rPr>
          <w:rFonts w:ascii="Calibri" w:hAnsi="Calibri" w:cs="Calibri"/>
        </w:rPr>
        <w:t>, t</w:t>
      </w:r>
      <w:r w:rsidR="00BB3227">
        <w:rPr>
          <w:rFonts w:ascii="Calibri" w:hAnsi="Calibri" w:cs="Calibri"/>
        </w:rPr>
        <w:t>he Minister</w:t>
      </w:r>
      <w:r w:rsidR="002446B6">
        <w:rPr>
          <w:rFonts w:ascii="Calibri" w:hAnsi="Calibri" w:cs="Calibri"/>
        </w:rPr>
        <w:t xml:space="preserve"> may</w:t>
      </w:r>
      <w:r w:rsidR="00DE7B4D">
        <w:rPr>
          <w:rFonts w:ascii="Calibri" w:hAnsi="Calibri" w:cs="Calibri"/>
        </w:rPr>
        <w:t>,</w:t>
      </w:r>
      <w:r w:rsidR="002446B6">
        <w:rPr>
          <w:rFonts w:ascii="Calibri" w:hAnsi="Calibri" w:cs="Calibri"/>
        </w:rPr>
        <w:t xml:space="preserve"> </w:t>
      </w:r>
      <w:r w:rsidR="00DE7B4D">
        <w:rPr>
          <w:rFonts w:ascii="Calibri" w:hAnsi="Calibri" w:cs="Calibri"/>
        </w:rPr>
        <w:t xml:space="preserve">following a thorough analysis and review, </w:t>
      </w:r>
      <w:r w:rsidR="002446B6">
        <w:rPr>
          <w:rFonts w:ascii="Calibri" w:hAnsi="Calibri" w:cs="Calibri"/>
        </w:rPr>
        <w:t>accept the strategic plan, accept the strategic plan with amendments or refuse to accept a strategic plan.</w:t>
      </w:r>
    </w:p>
    <w:p w14:paraId="6D647F7D" w14:textId="77777777" w:rsidR="004307BC" w:rsidRDefault="004307BC" w:rsidP="004307BC">
      <w:pPr>
        <w:ind w:left="720"/>
        <w:rPr>
          <w:rFonts w:ascii="Calibri" w:hAnsi="Calibri" w:cs="Calibri"/>
        </w:rPr>
      </w:pPr>
    </w:p>
    <w:p w14:paraId="437BC9DC" w14:textId="77777777" w:rsidR="00E13296" w:rsidRPr="0084704D" w:rsidRDefault="0084704D" w:rsidP="009E7845">
      <w:pPr>
        <w:numPr>
          <w:ilvl w:val="0"/>
          <w:numId w:val="5"/>
        </w:numPr>
        <w:rPr>
          <w:rFonts w:ascii="Calibri" w:hAnsi="Calibri" w:cs="Calibri"/>
        </w:rPr>
      </w:pPr>
      <w:r w:rsidRPr="0084704D">
        <w:rPr>
          <w:rFonts w:ascii="Calibri" w:hAnsi="Calibri" w:cs="Calibri"/>
        </w:rPr>
        <w:t xml:space="preserve">The strategic plan must be </w:t>
      </w:r>
      <w:r w:rsidR="00454CB1">
        <w:rPr>
          <w:rFonts w:ascii="Calibri" w:hAnsi="Calibri" w:cs="Calibri"/>
        </w:rPr>
        <w:t>reviewed by the Board on at least an annual basis. W</w:t>
      </w:r>
      <w:r w:rsidRPr="0084704D">
        <w:rPr>
          <w:rFonts w:ascii="Calibri" w:hAnsi="Calibri" w:cs="Calibri"/>
        </w:rPr>
        <w:t xml:space="preserve">hen the </w:t>
      </w:r>
      <w:r w:rsidR="00454CB1">
        <w:rPr>
          <w:rFonts w:ascii="Calibri" w:hAnsi="Calibri" w:cs="Calibri"/>
        </w:rPr>
        <w:t xml:space="preserve">Board determines that the </w:t>
      </w:r>
      <w:r w:rsidRPr="0084704D">
        <w:rPr>
          <w:rFonts w:ascii="Calibri" w:hAnsi="Calibri" w:cs="Calibri"/>
        </w:rPr>
        <w:t>plan is no longer current, either due to the lapsing of time or changing circumstances</w:t>
      </w:r>
      <w:r w:rsidR="0020747F">
        <w:rPr>
          <w:rFonts w:ascii="Calibri" w:hAnsi="Calibri" w:cs="Calibri"/>
        </w:rPr>
        <w:t>, or where directed to do so by the Minister</w:t>
      </w:r>
      <w:r w:rsidR="00FC0F9D">
        <w:rPr>
          <w:rFonts w:ascii="Calibri" w:hAnsi="Calibri" w:cs="Calibri"/>
        </w:rPr>
        <w:t>,</w:t>
      </w:r>
      <w:r w:rsidR="004A0752">
        <w:rPr>
          <w:rFonts w:ascii="Calibri" w:hAnsi="Calibri" w:cs="Calibri"/>
        </w:rPr>
        <w:t xml:space="preserve"> the Board must replace or update the strategic plan</w:t>
      </w:r>
      <w:r w:rsidRPr="0084704D">
        <w:rPr>
          <w:rFonts w:ascii="Calibri" w:hAnsi="Calibri" w:cs="Calibri"/>
        </w:rPr>
        <w:t>.</w:t>
      </w:r>
      <w:r w:rsidR="004A0752">
        <w:rPr>
          <w:rStyle w:val="FootnoteReference"/>
          <w:rFonts w:ascii="Calibri" w:hAnsi="Calibri" w:cs="Calibri"/>
        </w:rPr>
        <w:footnoteReference w:id="3"/>
      </w:r>
      <w:r w:rsidRPr="0084704D">
        <w:rPr>
          <w:rFonts w:ascii="Calibri" w:hAnsi="Calibri" w:cs="Calibri"/>
        </w:rPr>
        <w:t xml:space="preserve"> </w:t>
      </w:r>
      <w:r w:rsidR="001E20C8">
        <w:rPr>
          <w:rFonts w:ascii="Calibri" w:hAnsi="Calibri" w:cs="Calibri"/>
        </w:rPr>
        <w:t>In those years in which the strategic plan is replaced or updated, t</w:t>
      </w:r>
      <w:r w:rsidR="00E13296" w:rsidRPr="0084704D">
        <w:rPr>
          <w:rFonts w:ascii="Calibri" w:hAnsi="Calibri" w:cs="Calibri"/>
        </w:rPr>
        <w:t>he key dates for submission are as follows</w:t>
      </w:r>
      <w:r w:rsidR="00FC0F9D">
        <w:rPr>
          <w:rFonts w:ascii="Calibri" w:hAnsi="Calibri" w:cs="Calibri"/>
        </w:rPr>
        <w:t xml:space="preserve"> </w:t>
      </w:r>
      <w:r w:rsidR="00FC0F9D">
        <w:rPr>
          <w:rFonts w:ascii="Calibri" w:hAnsi="Calibri"/>
        </w:rPr>
        <w:t>–</w:t>
      </w:r>
    </w:p>
    <w:p w14:paraId="73F4F09F" w14:textId="73C67139" w:rsidR="005E73CA" w:rsidRDefault="003A2A0A" w:rsidP="00E13296">
      <w:pPr>
        <w:rPr>
          <w:rFonts w:ascii="Calibri" w:hAnsi="Calibri" w:cs="Calibri"/>
        </w:rPr>
      </w:pPr>
      <w:r>
        <w:rPr>
          <w:rFonts w:ascii="Calibri" w:hAnsi="Calibri" w:cs="Calibri"/>
        </w:rP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5211"/>
        <w:gridCol w:w="3248"/>
      </w:tblGrid>
      <w:tr w:rsidR="005E73CA" w:rsidRPr="003B70CD" w14:paraId="5B512A7D" w14:textId="77777777" w:rsidTr="0018364D">
        <w:trPr>
          <w:tblHeader/>
        </w:trPr>
        <w:tc>
          <w:tcPr>
            <w:tcW w:w="5211" w:type="dxa"/>
            <w:tcBorders>
              <w:right w:val="nil"/>
            </w:tcBorders>
            <w:shd w:val="clear" w:color="auto" w:fill="D9D9D9"/>
          </w:tcPr>
          <w:p w14:paraId="16C00577" w14:textId="77777777" w:rsidR="005E73CA" w:rsidRPr="00E13296" w:rsidRDefault="005E73CA" w:rsidP="0018364D">
            <w:pPr>
              <w:spacing w:before="60" w:after="60"/>
              <w:rPr>
                <w:rFonts w:ascii="Calibri" w:hAnsi="Calibri" w:cs="Calibri"/>
                <w:b/>
              </w:rPr>
            </w:pPr>
            <w:r>
              <w:rPr>
                <w:rFonts w:ascii="Calibri" w:hAnsi="Calibri" w:cs="Calibri"/>
                <w:b/>
              </w:rPr>
              <w:t>Requirement</w:t>
            </w:r>
          </w:p>
        </w:tc>
        <w:tc>
          <w:tcPr>
            <w:tcW w:w="3248" w:type="dxa"/>
            <w:tcBorders>
              <w:left w:val="nil"/>
            </w:tcBorders>
            <w:shd w:val="clear" w:color="auto" w:fill="D9D9D9"/>
          </w:tcPr>
          <w:p w14:paraId="5F9E69E4" w14:textId="77777777" w:rsidR="005E73CA" w:rsidRPr="00E13296" w:rsidRDefault="005E73CA" w:rsidP="0018364D">
            <w:pPr>
              <w:spacing w:before="60" w:after="60"/>
              <w:rPr>
                <w:rFonts w:ascii="Calibri" w:hAnsi="Calibri" w:cs="Calibri"/>
                <w:b/>
              </w:rPr>
            </w:pPr>
            <w:r>
              <w:rPr>
                <w:rFonts w:ascii="Calibri" w:hAnsi="Calibri" w:cs="Calibri"/>
                <w:b/>
              </w:rPr>
              <w:t>Due date</w:t>
            </w:r>
          </w:p>
        </w:tc>
      </w:tr>
      <w:tr w:rsidR="005E73CA" w:rsidRPr="003B70CD" w14:paraId="0789162D" w14:textId="77777777" w:rsidTr="0018364D">
        <w:tc>
          <w:tcPr>
            <w:tcW w:w="5211" w:type="dxa"/>
            <w:tcBorders>
              <w:right w:val="nil"/>
            </w:tcBorders>
          </w:tcPr>
          <w:p w14:paraId="53D7F55F" w14:textId="77777777" w:rsidR="005E73CA" w:rsidRPr="00E13296" w:rsidRDefault="005E73CA" w:rsidP="0018364D">
            <w:pPr>
              <w:spacing w:before="60" w:after="60"/>
              <w:rPr>
                <w:rFonts w:ascii="Calibri" w:hAnsi="Calibri" w:cs="Calibri"/>
              </w:rPr>
            </w:pPr>
            <w:r>
              <w:rPr>
                <w:rFonts w:ascii="Calibri" w:hAnsi="Calibri" w:cs="Calibri"/>
              </w:rPr>
              <w:t>Preliminary discussions between the TAFE institute and Department regarding the strategic plan</w:t>
            </w:r>
          </w:p>
        </w:tc>
        <w:tc>
          <w:tcPr>
            <w:tcW w:w="3248" w:type="dxa"/>
            <w:tcBorders>
              <w:left w:val="nil"/>
            </w:tcBorders>
          </w:tcPr>
          <w:p w14:paraId="1EED0FEF" w14:textId="77777777" w:rsidR="005E73CA" w:rsidRPr="00E13296" w:rsidRDefault="005E73CA" w:rsidP="0018364D">
            <w:pPr>
              <w:spacing w:before="60" w:after="60"/>
              <w:rPr>
                <w:rFonts w:ascii="Calibri" w:hAnsi="Calibri" w:cs="Calibri"/>
              </w:rPr>
            </w:pPr>
            <w:r>
              <w:rPr>
                <w:rFonts w:ascii="Calibri" w:hAnsi="Calibri" w:cs="Calibri"/>
              </w:rPr>
              <w:t xml:space="preserve">April – June </w:t>
            </w:r>
          </w:p>
        </w:tc>
      </w:tr>
      <w:tr w:rsidR="005E73CA" w:rsidRPr="003B70CD" w14:paraId="3C564BA5" w14:textId="77777777" w:rsidTr="0018364D">
        <w:tc>
          <w:tcPr>
            <w:tcW w:w="5211" w:type="dxa"/>
            <w:tcBorders>
              <w:right w:val="nil"/>
            </w:tcBorders>
          </w:tcPr>
          <w:p w14:paraId="3124615D" w14:textId="77777777" w:rsidR="005E73CA" w:rsidRDefault="005E73CA" w:rsidP="0018364D">
            <w:pPr>
              <w:spacing w:before="60" w:after="60"/>
              <w:rPr>
                <w:rFonts w:ascii="Calibri" w:hAnsi="Calibri" w:cs="Calibri"/>
              </w:rPr>
            </w:pPr>
            <w:r>
              <w:rPr>
                <w:rFonts w:ascii="Calibri" w:hAnsi="Calibri" w:cs="Calibri"/>
              </w:rPr>
              <w:t>Proposed strategic plan submitted to the Minister, if required</w:t>
            </w:r>
          </w:p>
        </w:tc>
        <w:tc>
          <w:tcPr>
            <w:tcW w:w="3248" w:type="dxa"/>
            <w:tcBorders>
              <w:left w:val="nil"/>
            </w:tcBorders>
          </w:tcPr>
          <w:p w14:paraId="5BB7FC48" w14:textId="77777777" w:rsidR="005E73CA" w:rsidRDefault="005E73CA" w:rsidP="0018364D">
            <w:pPr>
              <w:spacing w:before="60" w:after="60"/>
              <w:rPr>
                <w:rFonts w:ascii="Calibri" w:hAnsi="Calibri" w:cs="Calibri"/>
              </w:rPr>
            </w:pPr>
            <w:r>
              <w:rPr>
                <w:rFonts w:ascii="Calibri" w:hAnsi="Calibri" w:cs="Calibri"/>
              </w:rPr>
              <w:t>Last business day in August</w:t>
            </w:r>
          </w:p>
        </w:tc>
      </w:tr>
      <w:tr w:rsidR="005E73CA" w:rsidRPr="003B70CD" w14:paraId="1D87FE67" w14:textId="77777777" w:rsidTr="0018364D">
        <w:tc>
          <w:tcPr>
            <w:tcW w:w="5211" w:type="dxa"/>
            <w:tcBorders>
              <w:right w:val="nil"/>
            </w:tcBorders>
          </w:tcPr>
          <w:p w14:paraId="55A0CB96" w14:textId="77777777" w:rsidR="005E73CA" w:rsidRPr="00E13296" w:rsidRDefault="005E73CA" w:rsidP="0018364D">
            <w:pPr>
              <w:spacing w:before="60" w:after="60"/>
              <w:rPr>
                <w:rFonts w:ascii="Calibri" w:hAnsi="Calibri" w:cs="Calibri"/>
              </w:rPr>
            </w:pPr>
            <w:r>
              <w:rPr>
                <w:rFonts w:ascii="Calibri" w:hAnsi="Calibri" w:cs="Calibri"/>
              </w:rPr>
              <w:t>Strategic plan submitted to the Minister, if required</w:t>
            </w:r>
          </w:p>
        </w:tc>
        <w:tc>
          <w:tcPr>
            <w:tcW w:w="3248" w:type="dxa"/>
            <w:tcBorders>
              <w:left w:val="nil"/>
            </w:tcBorders>
          </w:tcPr>
          <w:p w14:paraId="14AF20BF" w14:textId="77777777" w:rsidR="005E73CA" w:rsidRPr="00E13296" w:rsidRDefault="005E73CA" w:rsidP="0018364D">
            <w:pPr>
              <w:spacing w:before="60" w:after="60"/>
              <w:rPr>
                <w:rFonts w:ascii="Calibri" w:hAnsi="Calibri" w:cs="Calibri"/>
              </w:rPr>
            </w:pPr>
            <w:r>
              <w:rPr>
                <w:rFonts w:ascii="Calibri" w:hAnsi="Calibri" w:cs="Calibri"/>
              </w:rPr>
              <w:t>Last business day in October</w:t>
            </w:r>
          </w:p>
        </w:tc>
      </w:tr>
      <w:tr w:rsidR="00482FE5" w:rsidRPr="003B70CD" w14:paraId="387C0A1C" w14:textId="77777777" w:rsidTr="0018364D">
        <w:tc>
          <w:tcPr>
            <w:tcW w:w="5211" w:type="dxa"/>
            <w:tcBorders>
              <w:right w:val="nil"/>
            </w:tcBorders>
          </w:tcPr>
          <w:p w14:paraId="20444013" w14:textId="099C954A" w:rsidR="00482FE5" w:rsidRDefault="00482FE5" w:rsidP="0018364D">
            <w:pPr>
              <w:spacing w:before="60" w:after="60"/>
              <w:rPr>
                <w:rFonts w:ascii="Calibri" w:hAnsi="Calibri" w:cs="Calibri"/>
              </w:rPr>
            </w:pPr>
            <w:r>
              <w:rPr>
                <w:rFonts w:ascii="Calibri" w:hAnsi="Calibri" w:cs="Calibri"/>
              </w:rPr>
              <w:t>Where the Minister has refused to accept a strategic plan, revised strategic plan to be submitted</w:t>
            </w:r>
          </w:p>
        </w:tc>
        <w:tc>
          <w:tcPr>
            <w:tcW w:w="3248" w:type="dxa"/>
            <w:tcBorders>
              <w:left w:val="nil"/>
            </w:tcBorders>
          </w:tcPr>
          <w:p w14:paraId="755AD3CB" w14:textId="01CBF462" w:rsidR="00482FE5" w:rsidRDefault="00482FE5" w:rsidP="0018364D">
            <w:pPr>
              <w:spacing w:before="60" w:after="60"/>
              <w:rPr>
                <w:rFonts w:ascii="Calibri" w:hAnsi="Calibri" w:cs="Calibri"/>
              </w:rPr>
            </w:pPr>
            <w:r>
              <w:rPr>
                <w:rFonts w:ascii="Calibri" w:hAnsi="Calibri" w:cs="Calibri"/>
              </w:rPr>
              <w:t>Within 30 days of notification that the Minister has refused to accept the strategic plan or other date as directed by the Minister</w:t>
            </w:r>
          </w:p>
        </w:tc>
      </w:tr>
    </w:tbl>
    <w:p w14:paraId="5AA463BF" w14:textId="4472A180" w:rsidR="00E13296" w:rsidRPr="00E649B4" w:rsidRDefault="005E73CA" w:rsidP="00E13296">
      <w:pPr>
        <w:rPr>
          <w:rFonts w:ascii="Calibri" w:hAnsi="Calibri" w:cs="Calibri"/>
        </w:rPr>
      </w:pPr>
      <w:r>
        <w:rPr>
          <w:rFonts w:ascii="Calibri" w:hAnsi="Calibri" w:cs="Calibri"/>
        </w:rPr>
        <w:t xml:space="preserve"> </w:t>
      </w:r>
      <w:r w:rsidR="00454CB1">
        <w:rPr>
          <w:rFonts w:ascii="Calibri" w:hAnsi="Calibri" w:cs="Calibri"/>
        </w:rPr>
        <w:br w:type="page"/>
      </w:r>
    </w:p>
    <w:p w14:paraId="6F93723F" w14:textId="77777777" w:rsidR="00DA3AEC" w:rsidRPr="008A2346" w:rsidRDefault="00DA3AEC" w:rsidP="00DA3AEC">
      <w:pPr>
        <w:pStyle w:val="Heading3"/>
        <w:rPr>
          <w:rFonts w:ascii="Calibri" w:hAnsi="Calibri"/>
        </w:rPr>
      </w:pPr>
      <w:bookmarkStart w:id="29" w:name="_Toc340830053"/>
      <w:bookmarkStart w:id="30" w:name="_Toc343609455"/>
      <w:bookmarkStart w:id="31" w:name="_Toc353436445"/>
      <w:r w:rsidRPr="008A2346">
        <w:rPr>
          <w:rFonts w:ascii="Calibri" w:hAnsi="Calibri"/>
        </w:rPr>
        <w:t xml:space="preserve">Guideline </w:t>
      </w:r>
      <w:r w:rsidR="00463E85">
        <w:rPr>
          <w:rFonts w:ascii="Calibri" w:hAnsi="Calibri"/>
        </w:rPr>
        <w:t>3</w:t>
      </w:r>
      <w:r w:rsidRPr="008A2346">
        <w:rPr>
          <w:rFonts w:ascii="Calibri" w:hAnsi="Calibri"/>
        </w:rPr>
        <w:t xml:space="preserve"> – </w:t>
      </w:r>
      <w:r w:rsidR="004307BC">
        <w:rPr>
          <w:rFonts w:ascii="Calibri" w:hAnsi="Calibri"/>
        </w:rPr>
        <w:t>Annual statement of corporate intent</w:t>
      </w:r>
      <w:bookmarkEnd w:id="29"/>
      <w:bookmarkEnd w:id="30"/>
      <w:bookmarkEnd w:id="31"/>
    </w:p>
    <w:p w14:paraId="3B209D14" w14:textId="77777777" w:rsidR="005E73CA" w:rsidRDefault="005E73CA" w:rsidP="005E73CA">
      <w:pPr>
        <w:ind w:left="720"/>
        <w:rPr>
          <w:rFonts w:ascii="Calibri" w:hAnsi="Calibri" w:cs="Calibri"/>
        </w:rPr>
      </w:pPr>
    </w:p>
    <w:p w14:paraId="0692CF41" w14:textId="77777777" w:rsidR="0020747F" w:rsidRDefault="0020747F" w:rsidP="009E7845">
      <w:pPr>
        <w:numPr>
          <w:ilvl w:val="0"/>
          <w:numId w:val="5"/>
        </w:numPr>
        <w:rPr>
          <w:rFonts w:ascii="Calibri" w:hAnsi="Calibri" w:cs="Calibri"/>
        </w:rPr>
      </w:pPr>
      <w:r w:rsidRPr="004307BC">
        <w:rPr>
          <w:rFonts w:ascii="Calibri" w:hAnsi="Calibri" w:cs="Calibri"/>
        </w:rPr>
        <w:t>The Board must prepare and submit a</w:t>
      </w:r>
      <w:r w:rsidR="001B5CFA">
        <w:rPr>
          <w:rFonts w:ascii="Calibri" w:hAnsi="Calibri" w:cs="Calibri"/>
        </w:rPr>
        <w:t xml:space="preserve">n annual statement of corporate intent </w:t>
      </w:r>
      <w:r w:rsidRPr="004307BC">
        <w:rPr>
          <w:rFonts w:ascii="Calibri" w:hAnsi="Calibri" w:cs="Calibri"/>
        </w:rPr>
        <w:t>to the Minister in accordance with section</w:t>
      </w:r>
      <w:r w:rsidR="001B5CFA">
        <w:rPr>
          <w:rFonts w:ascii="Calibri" w:hAnsi="Calibri" w:cs="Calibri"/>
        </w:rPr>
        <w:t>s</w:t>
      </w:r>
      <w:r w:rsidRPr="004307BC">
        <w:rPr>
          <w:rFonts w:ascii="Calibri" w:hAnsi="Calibri" w:cs="Calibri"/>
        </w:rPr>
        <w:t xml:space="preserve"> 3.1.18</w:t>
      </w:r>
      <w:r w:rsidR="001B5CFA">
        <w:rPr>
          <w:rFonts w:ascii="Calibri" w:hAnsi="Calibri" w:cs="Calibri"/>
        </w:rPr>
        <w:t>B and 3.1.18C</w:t>
      </w:r>
      <w:r w:rsidRPr="004307BC">
        <w:rPr>
          <w:rFonts w:ascii="Calibri" w:hAnsi="Calibri" w:cs="Calibri"/>
        </w:rPr>
        <w:t xml:space="preserve"> of the Act. The </w:t>
      </w:r>
      <w:r w:rsidR="0023726A">
        <w:rPr>
          <w:rFonts w:ascii="Calibri" w:hAnsi="Calibri" w:cs="Calibri"/>
        </w:rPr>
        <w:t xml:space="preserve">statement of corporate intent </w:t>
      </w:r>
      <w:r w:rsidRPr="004307BC">
        <w:rPr>
          <w:rFonts w:ascii="Calibri" w:hAnsi="Calibri" w:cs="Calibri"/>
        </w:rPr>
        <w:t>is</w:t>
      </w:r>
      <w:r w:rsidR="0023726A">
        <w:rPr>
          <w:rFonts w:ascii="Calibri" w:hAnsi="Calibri" w:cs="Calibri"/>
        </w:rPr>
        <w:t xml:space="preserve"> a public document</w:t>
      </w:r>
      <w:r w:rsidRPr="004307BC">
        <w:rPr>
          <w:rFonts w:ascii="Calibri" w:hAnsi="Calibri" w:cs="Calibri"/>
        </w:rPr>
        <w:t>.</w:t>
      </w:r>
    </w:p>
    <w:p w14:paraId="4925A789" w14:textId="77777777" w:rsidR="00A9243F" w:rsidRDefault="00A9243F" w:rsidP="00A9243F">
      <w:pPr>
        <w:ind w:left="720"/>
        <w:rPr>
          <w:rFonts w:ascii="Calibri" w:hAnsi="Calibri" w:cs="Calibri"/>
        </w:rPr>
      </w:pPr>
    </w:p>
    <w:p w14:paraId="44991214" w14:textId="77777777" w:rsidR="00737F6D" w:rsidRDefault="00737F6D" w:rsidP="009E7845">
      <w:pPr>
        <w:numPr>
          <w:ilvl w:val="0"/>
          <w:numId w:val="5"/>
        </w:numPr>
        <w:rPr>
          <w:rFonts w:ascii="Calibri" w:hAnsi="Calibri" w:cs="Calibri"/>
        </w:rPr>
      </w:pPr>
      <w:r>
        <w:rPr>
          <w:rFonts w:ascii="Calibri" w:hAnsi="Calibri" w:cs="Calibri"/>
        </w:rPr>
        <w:t xml:space="preserve">The statement of corporate intent is a brief, high level, plain English document that is to be no more than five pages expressed in terms of programs and outcomes. </w:t>
      </w:r>
      <w:r w:rsidR="00A9243F">
        <w:rPr>
          <w:rFonts w:ascii="Calibri" w:hAnsi="Calibri" w:cs="Calibri"/>
        </w:rPr>
        <w:t xml:space="preserve">The content of the statement of corporate intent </w:t>
      </w:r>
      <w:r w:rsidR="00E22D25">
        <w:rPr>
          <w:rFonts w:ascii="Calibri" w:hAnsi="Calibri" w:cs="Calibri"/>
        </w:rPr>
        <w:t xml:space="preserve">is </w:t>
      </w:r>
      <w:r w:rsidR="00A9243F">
        <w:rPr>
          <w:rFonts w:ascii="Calibri" w:hAnsi="Calibri" w:cs="Calibri"/>
        </w:rPr>
        <w:t>set out in section 3.1.18C of the Act.</w:t>
      </w:r>
    </w:p>
    <w:p w14:paraId="3F5764E7" w14:textId="77777777" w:rsidR="00237098" w:rsidRDefault="00237098" w:rsidP="00237098">
      <w:pPr>
        <w:pStyle w:val="ListParagraph"/>
        <w:rPr>
          <w:rFonts w:ascii="Calibri" w:hAnsi="Calibri" w:cs="Calibri"/>
        </w:rPr>
      </w:pPr>
    </w:p>
    <w:p w14:paraId="16C6D161" w14:textId="77777777" w:rsidR="00237098" w:rsidRPr="004307BC" w:rsidRDefault="00237098" w:rsidP="009E7845">
      <w:pPr>
        <w:numPr>
          <w:ilvl w:val="0"/>
          <w:numId w:val="5"/>
        </w:numPr>
        <w:rPr>
          <w:rFonts w:ascii="Calibri" w:hAnsi="Calibri" w:cs="Calibri"/>
        </w:rPr>
      </w:pPr>
      <w:r>
        <w:rPr>
          <w:rFonts w:ascii="Calibri" w:hAnsi="Calibri" w:cs="Calibri"/>
        </w:rPr>
        <w:t xml:space="preserve">The statement of corporate intent can be presented as a separate document or integrated with the strategic plan or </w:t>
      </w:r>
      <w:r w:rsidR="006C04E2">
        <w:rPr>
          <w:rFonts w:ascii="Calibri" w:hAnsi="Calibri" w:cs="Calibri"/>
        </w:rPr>
        <w:t>B</w:t>
      </w:r>
      <w:r>
        <w:rPr>
          <w:rFonts w:ascii="Calibri" w:hAnsi="Calibri" w:cs="Calibri"/>
        </w:rPr>
        <w:t xml:space="preserve">usiness </w:t>
      </w:r>
      <w:r w:rsidR="006C04E2">
        <w:rPr>
          <w:rFonts w:ascii="Calibri" w:hAnsi="Calibri" w:cs="Calibri"/>
        </w:rPr>
        <w:t>P</w:t>
      </w:r>
      <w:r>
        <w:rPr>
          <w:rFonts w:ascii="Calibri" w:hAnsi="Calibri" w:cs="Calibri"/>
        </w:rPr>
        <w:t>lan.</w:t>
      </w:r>
    </w:p>
    <w:p w14:paraId="645B3972" w14:textId="77777777" w:rsidR="00264B5F" w:rsidRPr="008A2346" w:rsidRDefault="00264B5F" w:rsidP="00264B5F">
      <w:pPr>
        <w:rPr>
          <w:rFonts w:ascii="Calibri" w:hAnsi="Calibri"/>
        </w:rPr>
      </w:pPr>
    </w:p>
    <w:p w14:paraId="1AB7C7FF" w14:textId="77777777" w:rsidR="008C550E" w:rsidRDefault="008C550E" w:rsidP="009E7845">
      <w:pPr>
        <w:numPr>
          <w:ilvl w:val="0"/>
          <w:numId w:val="5"/>
        </w:numPr>
        <w:rPr>
          <w:rFonts w:ascii="Calibri" w:hAnsi="Calibri" w:cs="Calibri"/>
        </w:rPr>
      </w:pPr>
      <w:r>
        <w:rPr>
          <w:rFonts w:ascii="Calibri" w:hAnsi="Calibri" w:cs="Calibri"/>
        </w:rPr>
        <w:t xml:space="preserve">The </w:t>
      </w:r>
      <w:r w:rsidR="00DE77CD">
        <w:rPr>
          <w:rFonts w:ascii="Calibri" w:hAnsi="Calibri" w:cs="Calibri"/>
        </w:rPr>
        <w:t>key dates for the submission of the statement of corporate intent are as follows</w:t>
      </w:r>
      <w:r w:rsidR="000D07E6">
        <w:rPr>
          <w:rFonts w:ascii="Calibri" w:hAnsi="Calibri" w:cs="Calibri"/>
        </w:rPr>
        <w:t xml:space="preserve"> </w:t>
      </w:r>
      <w:r w:rsidR="000D07E6">
        <w:rPr>
          <w:rFonts w:ascii="Calibri" w:hAnsi="Calibri"/>
        </w:rPr>
        <w:t>–</w:t>
      </w:r>
    </w:p>
    <w:p w14:paraId="17804599" w14:textId="77777777" w:rsidR="00D06CCC" w:rsidRDefault="00D06CCC" w:rsidP="00D06CCC">
      <w:pPr>
        <w:ind w:left="1080"/>
        <w:rPr>
          <w:rFonts w:ascii="Calibri" w:hAnsi="Calibr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928"/>
        <w:gridCol w:w="3544"/>
      </w:tblGrid>
      <w:tr w:rsidR="00DE77CD" w:rsidRPr="003B70CD" w14:paraId="6DA8D9C6" w14:textId="77777777" w:rsidTr="00970D71">
        <w:trPr>
          <w:tblHeader/>
        </w:trPr>
        <w:tc>
          <w:tcPr>
            <w:tcW w:w="4928" w:type="dxa"/>
            <w:tcBorders>
              <w:right w:val="nil"/>
            </w:tcBorders>
            <w:shd w:val="clear" w:color="auto" w:fill="D9D9D9"/>
          </w:tcPr>
          <w:p w14:paraId="2EFACEC2" w14:textId="77777777" w:rsidR="00DE77CD" w:rsidRPr="00E13296" w:rsidRDefault="00DE77CD" w:rsidP="00DE77CD">
            <w:pPr>
              <w:spacing w:before="60" w:after="60"/>
              <w:rPr>
                <w:rFonts w:ascii="Calibri" w:hAnsi="Calibri" w:cs="Calibri"/>
                <w:b/>
              </w:rPr>
            </w:pPr>
            <w:r>
              <w:rPr>
                <w:rFonts w:ascii="Calibri" w:hAnsi="Calibri" w:cs="Calibri"/>
                <w:b/>
              </w:rPr>
              <w:t>Requirement</w:t>
            </w:r>
          </w:p>
        </w:tc>
        <w:tc>
          <w:tcPr>
            <w:tcW w:w="3544" w:type="dxa"/>
            <w:tcBorders>
              <w:left w:val="nil"/>
            </w:tcBorders>
            <w:shd w:val="clear" w:color="auto" w:fill="D9D9D9"/>
          </w:tcPr>
          <w:p w14:paraId="66DAA996" w14:textId="77777777" w:rsidR="00DE77CD" w:rsidRPr="00E13296" w:rsidRDefault="00DE77CD" w:rsidP="00DE77CD">
            <w:pPr>
              <w:spacing w:before="60" w:after="60"/>
              <w:rPr>
                <w:rFonts w:ascii="Calibri" w:hAnsi="Calibri" w:cs="Calibri"/>
                <w:b/>
              </w:rPr>
            </w:pPr>
            <w:r>
              <w:rPr>
                <w:rFonts w:ascii="Calibri" w:hAnsi="Calibri" w:cs="Calibri"/>
                <w:b/>
              </w:rPr>
              <w:t>Due date</w:t>
            </w:r>
          </w:p>
        </w:tc>
      </w:tr>
      <w:tr w:rsidR="00DE77CD" w:rsidRPr="003B70CD" w14:paraId="1C68C9EF" w14:textId="77777777" w:rsidTr="00970D71">
        <w:tc>
          <w:tcPr>
            <w:tcW w:w="4928" w:type="dxa"/>
            <w:tcBorders>
              <w:right w:val="nil"/>
            </w:tcBorders>
          </w:tcPr>
          <w:p w14:paraId="01B76B8F" w14:textId="77777777" w:rsidR="00DE77CD" w:rsidRPr="00E13296" w:rsidRDefault="00DE77CD" w:rsidP="00034D12">
            <w:pPr>
              <w:spacing w:before="60" w:after="60"/>
              <w:rPr>
                <w:rFonts w:ascii="Calibri" w:hAnsi="Calibri" w:cs="Calibri"/>
              </w:rPr>
            </w:pPr>
            <w:r>
              <w:rPr>
                <w:rFonts w:ascii="Calibri" w:hAnsi="Calibri" w:cs="Calibri"/>
              </w:rPr>
              <w:t xml:space="preserve">Preliminary discussions between the TAFE institute and Department regarding the </w:t>
            </w:r>
            <w:r w:rsidR="00034D12">
              <w:rPr>
                <w:rFonts w:ascii="Calibri" w:hAnsi="Calibri" w:cs="Calibri"/>
              </w:rPr>
              <w:t>statement of corporate intent</w:t>
            </w:r>
          </w:p>
        </w:tc>
        <w:tc>
          <w:tcPr>
            <w:tcW w:w="3544" w:type="dxa"/>
            <w:tcBorders>
              <w:left w:val="nil"/>
            </w:tcBorders>
          </w:tcPr>
          <w:p w14:paraId="74A5EC57" w14:textId="77777777" w:rsidR="00DE77CD" w:rsidRPr="00E13296" w:rsidRDefault="00034D12" w:rsidP="00DE77CD">
            <w:pPr>
              <w:spacing w:before="60" w:after="60"/>
              <w:rPr>
                <w:rFonts w:ascii="Calibri" w:hAnsi="Calibri" w:cs="Calibri"/>
              </w:rPr>
            </w:pPr>
            <w:r>
              <w:rPr>
                <w:rFonts w:ascii="Calibri" w:hAnsi="Calibri" w:cs="Calibri"/>
              </w:rPr>
              <w:t>September</w:t>
            </w:r>
            <w:r w:rsidR="00DE77CD">
              <w:rPr>
                <w:rFonts w:ascii="Calibri" w:hAnsi="Calibri" w:cs="Calibri"/>
              </w:rPr>
              <w:t xml:space="preserve"> </w:t>
            </w:r>
          </w:p>
        </w:tc>
      </w:tr>
      <w:tr w:rsidR="00034D12" w:rsidRPr="003B70CD" w14:paraId="5E7C721E" w14:textId="77777777" w:rsidTr="00970D71">
        <w:tc>
          <w:tcPr>
            <w:tcW w:w="4928" w:type="dxa"/>
            <w:tcBorders>
              <w:right w:val="nil"/>
            </w:tcBorders>
          </w:tcPr>
          <w:p w14:paraId="7B1797D5" w14:textId="77777777" w:rsidR="00034D12" w:rsidRDefault="00970D71" w:rsidP="00034D12">
            <w:pPr>
              <w:spacing w:before="60" w:after="60"/>
              <w:rPr>
                <w:rFonts w:ascii="Calibri" w:hAnsi="Calibri" w:cs="Calibri"/>
              </w:rPr>
            </w:pPr>
            <w:r>
              <w:rPr>
                <w:rFonts w:ascii="Calibri" w:hAnsi="Calibri" w:cs="Calibri"/>
              </w:rPr>
              <w:t>Minister’s statement of expectations, if required</w:t>
            </w:r>
          </w:p>
        </w:tc>
        <w:tc>
          <w:tcPr>
            <w:tcW w:w="3544" w:type="dxa"/>
            <w:tcBorders>
              <w:left w:val="nil"/>
            </w:tcBorders>
          </w:tcPr>
          <w:p w14:paraId="5328C78E" w14:textId="77777777" w:rsidR="00034D12" w:rsidRDefault="00970D71" w:rsidP="00DE77CD">
            <w:pPr>
              <w:spacing w:before="60" w:after="60"/>
              <w:rPr>
                <w:rFonts w:ascii="Calibri" w:hAnsi="Calibri" w:cs="Calibri"/>
              </w:rPr>
            </w:pPr>
            <w:r>
              <w:rPr>
                <w:rFonts w:ascii="Calibri" w:hAnsi="Calibri" w:cs="Calibri"/>
              </w:rPr>
              <w:t>Last business day in September</w:t>
            </w:r>
          </w:p>
        </w:tc>
      </w:tr>
      <w:tr w:rsidR="00DE77CD" w:rsidRPr="003B70CD" w14:paraId="57CF5123" w14:textId="77777777" w:rsidTr="00970D71">
        <w:tc>
          <w:tcPr>
            <w:tcW w:w="4928" w:type="dxa"/>
            <w:tcBorders>
              <w:right w:val="nil"/>
            </w:tcBorders>
          </w:tcPr>
          <w:p w14:paraId="6732D970" w14:textId="77777777" w:rsidR="00DE77CD" w:rsidRPr="00E13296" w:rsidRDefault="00970D71" w:rsidP="00970D71">
            <w:pPr>
              <w:spacing w:before="60" w:after="60"/>
              <w:rPr>
                <w:rFonts w:ascii="Calibri" w:hAnsi="Calibri" w:cs="Calibri"/>
              </w:rPr>
            </w:pPr>
            <w:r>
              <w:rPr>
                <w:rFonts w:ascii="Calibri" w:hAnsi="Calibri" w:cs="Calibri"/>
              </w:rPr>
              <w:t xml:space="preserve">Statement of corporate intent </w:t>
            </w:r>
            <w:r w:rsidR="00DE77CD">
              <w:rPr>
                <w:rFonts w:ascii="Calibri" w:hAnsi="Calibri" w:cs="Calibri"/>
              </w:rPr>
              <w:t>submitted</w:t>
            </w:r>
          </w:p>
        </w:tc>
        <w:tc>
          <w:tcPr>
            <w:tcW w:w="3544" w:type="dxa"/>
            <w:tcBorders>
              <w:left w:val="nil"/>
            </w:tcBorders>
          </w:tcPr>
          <w:p w14:paraId="24CC9726" w14:textId="77777777" w:rsidR="00DE77CD" w:rsidRPr="00E13296" w:rsidRDefault="00431B45" w:rsidP="00431B45">
            <w:pPr>
              <w:spacing w:before="60" w:after="60"/>
              <w:rPr>
                <w:rFonts w:ascii="Calibri" w:hAnsi="Calibri" w:cs="Calibri"/>
              </w:rPr>
            </w:pPr>
            <w:r>
              <w:rPr>
                <w:rFonts w:ascii="Calibri" w:hAnsi="Calibri" w:cs="Calibri"/>
              </w:rPr>
              <w:t>Last business day in October</w:t>
            </w:r>
          </w:p>
        </w:tc>
      </w:tr>
    </w:tbl>
    <w:p w14:paraId="47689EBB" w14:textId="77777777" w:rsidR="00DE77CD" w:rsidRPr="008A2346" w:rsidRDefault="00DE77CD" w:rsidP="00DE77CD">
      <w:pPr>
        <w:rPr>
          <w:rFonts w:ascii="Calibri" w:hAnsi="Calibri"/>
        </w:rPr>
      </w:pPr>
    </w:p>
    <w:p w14:paraId="139E3ECF" w14:textId="1EF28E52" w:rsidR="006A32BD" w:rsidRDefault="003A2A0A" w:rsidP="005A4E46">
      <w:pPr>
        <w:pStyle w:val="Heading3"/>
        <w:rPr>
          <w:rFonts w:ascii="Calibri" w:hAnsi="Calibri"/>
        </w:rPr>
      </w:pPr>
      <w:bookmarkStart w:id="32" w:name="_Guideline_2_–"/>
      <w:bookmarkStart w:id="33" w:name="_Toc340830054"/>
      <w:bookmarkStart w:id="34" w:name="_Toc343609456"/>
      <w:bookmarkEnd w:id="32"/>
      <w:r>
        <w:rPr>
          <w:rFonts w:ascii="Calibri" w:hAnsi="Calibri"/>
        </w:rPr>
        <w:br w:type="page"/>
      </w:r>
      <w:bookmarkStart w:id="35" w:name="_Toc353436446"/>
      <w:r w:rsidR="006A32BD">
        <w:rPr>
          <w:rFonts w:ascii="Calibri" w:hAnsi="Calibri"/>
        </w:rPr>
        <w:lastRenderedPageBreak/>
        <w:t xml:space="preserve">Guideline </w:t>
      </w:r>
      <w:r w:rsidR="00463E85">
        <w:rPr>
          <w:rFonts w:ascii="Calibri" w:hAnsi="Calibri"/>
        </w:rPr>
        <w:t>4</w:t>
      </w:r>
      <w:r w:rsidR="006A32BD">
        <w:rPr>
          <w:rFonts w:ascii="Calibri" w:hAnsi="Calibri"/>
        </w:rPr>
        <w:t xml:space="preserve"> – Business </w:t>
      </w:r>
      <w:r w:rsidR="009107CC">
        <w:rPr>
          <w:rFonts w:ascii="Calibri" w:hAnsi="Calibri"/>
        </w:rPr>
        <w:t>P</w:t>
      </w:r>
      <w:r w:rsidR="006A32BD">
        <w:rPr>
          <w:rFonts w:ascii="Calibri" w:hAnsi="Calibri"/>
        </w:rPr>
        <w:t>lan</w:t>
      </w:r>
      <w:bookmarkEnd w:id="33"/>
      <w:bookmarkEnd w:id="34"/>
      <w:bookmarkEnd w:id="35"/>
    </w:p>
    <w:p w14:paraId="38DC3AA1" w14:textId="77777777" w:rsidR="006A32BD" w:rsidRDefault="002209A0" w:rsidP="009E7845">
      <w:pPr>
        <w:numPr>
          <w:ilvl w:val="0"/>
          <w:numId w:val="5"/>
        </w:numPr>
        <w:rPr>
          <w:rFonts w:ascii="Calibri" w:hAnsi="Calibri"/>
        </w:rPr>
      </w:pPr>
      <w:r>
        <w:rPr>
          <w:rFonts w:ascii="Calibri" w:hAnsi="Calibri"/>
        </w:rPr>
        <w:t>The Board must prepare, on an annual basis, a Business Plan. The Business Plan is a detailed action plan and must include</w:t>
      </w:r>
      <w:r w:rsidR="000D07E6">
        <w:rPr>
          <w:rFonts w:ascii="Calibri" w:hAnsi="Calibri"/>
        </w:rPr>
        <w:t xml:space="preserve"> –</w:t>
      </w:r>
    </w:p>
    <w:p w14:paraId="73C20B80" w14:textId="77777777" w:rsidR="002209A0" w:rsidRDefault="002209A0" w:rsidP="002209A0">
      <w:pPr>
        <w:ind w:left="720"/>
        <w:rPr>
          <w:rFonts w:ascii="Calibri" w:hAnsi="Calibri"/>
        </w:rPr>
      </w:pPr>
    </w:p>
    <w:p w14:paraId="7640259B" w14:textId="77777777" w:rsidR="002209A0" w:rsidRDefault="002209A0" w:rsidP="009E7845">
      <w:pPr>
        <w:numPr>
          <w:ilvl w:val="0"/>
          <w:numId w:val="4"/>
        </w:numPr>
        <w:ind w:hanging="731"/>
        <w:rPr>
          <w:rFonts w:ascii="Calibri" w:hAnsi="Calibri"/>
        </w:rPr>
      </w:pPr>
      <w:r w:rsidRPr="002209A0">
        <w:rPr>
          <w:rFonts w:ascii="Calibri" w:hAnsi="Calibri"/>
        </w:rPr>
        <w:t>the actions and strategies to achieve the TAFE institute</w:t>
      </w:r>
      <w:r w:rsidR="00C55D4D">
        <w:rPr>
          <w:rFonts w:ascii="Calibri" w:hAnsi="Calibri"/>
        </w:rPr>
        <w:t>’</w:t>
      </w:r>
      <w:r w:rsidRPr="002209A0">
        <w:rPr>
          <w:rFonts w:ascii="Calibri" w:hAnsi="Calibri"/>
        </w:rPr>
        <w:t>s objectives</w:t>
      </w:r>
      <w:r>
        <w:rPr>
          <w:rFonts w:ascii="Calibri" w:hAnsi="Calibri"/>
        </w:rPr>
        <w:t>;</w:t>
      </w:r>
      <w:r w:rsidR="00B97438">
        <w:rPr>
          <w:rFonts w:ascii="Calibri" w:hAnsi="Calibri"/>
        </w:rPr>
        <w:t xml:space="preserve"> and</w:t>
      </w:r>
    </w:p>
    <w:p w14:paraId="15EFB21C" w14:textId="77777777" w:rsidR="002209A0" w:rsidRPr="002209A0" w:rsidRDefault="002209A0" w:rsidP="002209A0">
      <w:pPr>
        <w:ind w:left="1440"/>
        <w:rPr>
          <w:rFonts w:ascii="Calibri" w:hAnsi="Calibri"/>
        </w:rPr>
      </w:pPr>
    </w:p>
    <w:p w14:paraId="279086F5" w14:textId="77777777" w:rsidR="002209A0" w:rsidRDefault="002209A0" w:rsidP="009E7845">
      <w:pPr>
        <w:numPr>
          <w:ilvl w:val="0"/>
          <w:numId w:val="4"/>
        </w:numPr>
        <w:ind w:hanging="731"/>
        <w:rPr>
          <w:rFonts w:ascii="Calibri" w:hAnsi="Calibri"/>
        </w:rPr>
      </w:pPr>
      <w:proofErr w:type="gramStart"/>
      <w:r w:rsidRPr="002209A0">
        <w:rPr>
          <w:rFonts w:ascii="Calibri" w:hAnsi="Calibri"/>
        </w:rPr>
        <w:t>quarterly</w:t>
      </w:r>
      <w:proofErr w:type="gramEnd"/>
      <w:r w:rsidRPr="002209A0">
        <w:rPr>
          <w:rFonts w:ascii="Calibri" w:hAnsi="Calibri"/>
        </w:rPr>
        <w:t xml:space="preserve"> phasings (for the quarter and year to date)</w:t>
      </w:r>
      <w:r w:rsidR="00C55D4D">
        <w:rPr>
          <w:rFonts w:ascii="Calibri" w:hAnsi="Calibri"/>
        </w:rPr>
        <w:t xml:space="preserve"> </w:t>
      </w:r>
      <w:r w:rsidRPr="002209A0">
        <w:rPr>
          <w:rFonts w:ascii="Calibri" w:hAnsi="Calibri"/>
        </w:rPr>
        <w:t>for the financial statements</w:t>
      </w:r>
      <w:r w:rsidR="000D07E6">
        <w:rPr>
          <w:rFonts w:ascii="Calibri" w:hAnsi="Calibri"/>
        </w:rPr>
        <w:t>,</w:t>
      </w:r>
      <w:r w:rsidRPr="002209A0">
        <w:rPr>
          <w:rFonts w:ascii="Calibri" w:hAnsi="Calibri"/>
        </w:rPr>
        <w:t xml:space="preserve"> and</w:t>
      </w:r>
      <w:r w:rsidR="00C55D4D">
        <w:rPr>
          <w:rFonts w:ascii="Calibri" w:hAnsi="Calibri"/>
        </w:rPr>
        <w:t xml:space="preserve"> financial and non-financial performance measures</w:t>
      </w:r>
      <w:r w:rsidRPr="002209A0">
        <w:rPr>
          <w:rFonts w:ascii="Calibri" w:hAnsi="Calibri"/>
        </w:rPr>
        <w:t>.</w:t>
      </w:r>
    </w:p>
    <w:p w14:paraId="6E9633FA" w14:textId="77777777" w:rsidR="00B97438" w:rsidRDefault="00B97438" w:rsidP="00B97438">
      <w:pPr>
        <w:pStyle w:val="ListParagraph"/>
        <w:rPr>
          <w:rFonts w:ascii="Calibri" w:hAnsi="Calibri"/>
        </w:rPr>
      </w:pPr>
    </w:p>
    <w:p w14:paraId="1354E8E5" w14:textId="4395B1CA" w:rsidR="00AE53B3" w:rsidRPr="00AE53B3" w:rsidRDefault="00B97438" w:rsidP="009E7845">
      <w:pPr>
        <w:numPr>
          <w:ilvl w:val="0"/>
          <w:numId w:val="5"/>
        </w:numPr>
        <w:rPr>
          <w:rFonts w:ascii="Calibri" w:hAnsi="Calibri"/>
        </w:rPr>
      </w:pPr>
      <w:r>
        <w:rPr>
          <w:rFonts w:ascii="Calibri" w:hAnsi="Calibri"/>
        </w:rPr>
        <w:t xml:space="preserve">The Board must provide </w:t>
      </w:r>
      <w:r w:rsidR="00595431">
        <w:rPr>
          <w:rFonts w:ascii="Calibri" w:hAnsi="Calibri"/>
        </w:rPr>
        <w:t xml:space="preserve">the </w:t>
      </w:r>
      <w:r w:rsidR="00595431" w:rsidRPr="002209A0">
        <w:rPr>
          <w:rFonts w:ascii="Calibri" w:hAnsi="Calibri"/>
        </w:rPr>
        <w:t>quarterly phasings (for the quarter and year to date)</w:t>
      </w:r>
      <w:r w:rsidR="00595431">
        <w:rPr>
          <w:rFonts w:ascii="Calibri" w:hAnsi="Calibri"/>
        </w:rPr>
        <w:t xml:space="preserve"> </w:t>
      </w:r>
      <w:r w:rsidR="00595431" w:rsidRPr="002209A0">
        <w:rPr>
          <w:rFonts w:ascii="Calibri" w:hAnsi="Calibri"/>
        </w:rPr>
        <w:t>for the financial statements</w:t>
      </w:r>
      <w:r w:rsidR="006358EC">
        <w:rPr>
          <w:rFonts w:ascii="Calibri" w:hAnsi="Calibri"/>
        </w:rPr>
        <w:t xml:space="preserve"> and the number of </w:t>
      </w:r>
      <w:r w:rsidR="00732780">
        <w:rPr>
          <w:rFonts w:ascii="Calibri" w:hAnsi="Calibri"/>
        </w:rPr>
        <w:t xml:space="preserve">annualised </w:t>
      </w:r>
      <w:r w:rsidR="006358EC">
        <w:rPr>
          <w:rFonts w:ascii="Calibri" w:hAnsi="Calibri"/>
        </w:rPr>
        <w:t>Full Time Equivalents (teaching and non-teaching</w:t>
      </w:r>
      <w:r w:rsidR="00EA751C">
        <w:rPr>
          <w:rFonts w:ascii="Calibri" w:hAnsi="Calibri"/>
        </w:rPr>
        <w:t>)</w:t>
      </w:r>
      <w:r w:rsidR="005702B7">
        <w:rPr>
          <w:rFonts w:ascii="Calibri" w:hAnsi="Calibri"/>
        </w:rPr>
        <w:t>, from the Business Plan,</w:t>
      </w:r>
      <w:r w:rsidR="00595431">
        <w:rPr>
          <w:rFonts w:ascii="Calibri" w:hAnsi="Calibri"/>
        </w:rPr>
        <w:t xml:space="preserve"> to the Deputy Secretary</w:t>
      </w:r>
      <w:r w:rsidR="00595431" w:rsidRPr="002209A0">
        <w:rPr>
          <w:rFonts w:ascii="Calibri" w:hAnsi="Calibri"/>
        </w:rPr>
        <w:t>.</w:t>
      </w:r>
      <w:r w:rsidR="00595431">
        <w:rPr>
          <w:rFonts w:ascii="Calibri" w:hAnsi="Calibri"/>
        </w:rPr>
        <w:t xml:space="preserve"> </w:t>
      </w:r>
      <w:r w:rsidR="006358EC">
        <w:rPr>
          <w:rFonts w:ascii="Calibri" w:hAnsi="Calibri"/>
        </w:rPr>
        <w:t>The financial statements</w:t>
      </w:r>
      <w:r w:rsidR="00EA751C">
        <w:rPr>
          <w:rFonts w:ascii="Calibri" w:hAnsi="Calibri"/>
        </w:rPr>
        <w:t xml:space="preserve"> </w:t>
      </w:r>
      <w:r w:rsidR="00497D18">
        <w:rPr>
          <w:rFonts w:ascii="Calibri" w:hAnsi="Calibri"/>
        </w:rPr>
        <w:t xml:space="preserve">must </w:t>
      </w:r>
      <w:r w:rsidR="00EA751C">
        <w:rPr>
          <w:rFonts w:ascii="Calibri" w:hAnsi="Calibri"/>
        </w:rPr>
        <w:t xml:space="preserve">include a detailed trial balance split by months. </w:t>
      </w:r>
      <w:r w:rsidR="00AE53B3" w:rsidRPr="004307BC">
        <w:rPr>
          <w:rFonts w:ascii="Calibri" w:hAnsi="Calibri" w:cs="Calibri"/>
        </w:rPr>
        <w:t xml:space="preserve">The </w:t>
      </w:r>
      <w:r w:rsidR="00AE53B3">
        <w:rPr>
          <w:rFonts w:ascii="Calibri" w:hAnsi="Calibri" w:cs="Calibri"/>
        </w:rPr>
        <w:t xml:space="preserve">quarterly phasings are </w:t>
      </w:r>
      <w:r w:rsidR="00AE53B3" w:rsidRPr="004307BC">
        <w:rPr>
          <w:rFonts w:ascii="Calibri" w:hAnsi="Calibri" w:cs="Calibri"/>
        </w:rPr>
        <w:t>submitted on a commercial in confidence basis.</w:t>
      </w:r>
      <w:r w:rsidR="00AE53B3">
        <w:rPr>
          <w:rFonts w:ascii="Calibri" w:hAnsi="Calibri" w:cs="Calibri"/>
        </w:rPr>
        <w:t xml:space="preserve"> </w:t>
      </w:r>
    </w:p>
    <w:p w14:paraId="3B776266" w14:textId="77777777" w:rsidR="00AE53B3" w:rsidRPr="00AE53B3" w:rsidRDefault="00AE53B3" w:rsidP="00AE53B3">
      <w:pPr>
        <w:ind w:left="720"/>
        <w:rPr>
          <w:rFonts w:ascii="Calibri" w:hAnsi="Calibri"/>
        </w:rPr>
      </w:pPr>
    </w:p>
    <w:p w14:paraId="6E06A849" w14:textId="77777777" w:rsidR="00AE53B3" w:rsidRDefault="00AE53B3" w:rsidP="009E7845">
      <w:pPr>
        <w:numPr>
          <w:ilvl w:val="0"/>
          <w:numId w:val="5"/>
        </w:numPr>
        <w:rPr>
          <w:rFonts w:ascii="Calibri" w:hAnsi="Calibri" w:cs="Calibri"/>
        </w:rPr>
      </w:pPr>
      <w:r>
        <w:rPr>
          <w:rFonts w:ascii="Calibri" w:hAnsi="Calibri" w:cs="Calibri"/>
        </w:rPr>
        <w:t>The key dates for the submission of the quarterly phasings are as follows</w:t>
      </w:r>
      <w:r w:rsidR="000D07E6">
        <w:rPr>
          <w:rFonts w:ascii="Calibri" w:hAnsi="Calibri" w:cs="Calibri"/>
        </w:rPr>
        <w:t xml:space="preserve"> </w:t>
      </w:r>
      <w:r w:rsidR="000D07E6">
        <w:rPr>
          <w:rFonts w:ascii="Calibri" w:hAnsi="Calibri"/>
        </w:rPr>
        <w:t>–</w:t>
      </w:r>
    </w:p>
    <w:p w14:paraId="1072F26E" w14:textId="77777777" w:rsidR="00AE53B3" w:rsidRDefault="00AE53B3" w:rsidP="00AE53B3">
      <w:pPr>
        <w:ind w:left="1080"/>
        <w:rPr>
          <w:rFonts w:ascii="Calibri" w:hAnsi="Calibr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928"/>
        <w:gridCol w:w="3544"/>
      </w:tblGrid>
      <w:tr w:rsidR="00AE53B3" w:rsidRPr="003B70CD" w14:paraId="0073B813" w14:textId="77777777" w:rsidTr="00AE53B3">
        <w:trPr>
          <w:tblHeader/>
        </w:trPr>
        <w:tc>
          <w:tcPr>
            <w:tcW w:w="4928" w:type="dxa"/>
            <w:tcBorders>
              <w:right w:val="nil"/>
            </w:tcBorders>
            <w:shd w:val="clear" w:color="auto" w:fill="D9D9D9"/>
          </w:tcPr>
          <w:p w14:paraId="24CB2DD2" w14:textId="77777777" w:rsidR="00AE53B3" w:rsidRPr="00E13296" w:rsidRDefault="00AE53B3" w:rsidP="00AE53B3">
            <w:pPr>
              <w:spacing w:before="60" w:after="60"/>
              <w:rPr>
                <w:rFonts w:ascii="Calibri" w:hAnsi="Calibri" w:cs="Calibri"/>
                <w:b/>
              </w:rPr>
            </w:pPr>
            <w:r>
              <w:rPr>
                <w:rFonts w:ascii="Calibri" w:hAnsi="Calibri" w:cs="Calibri"/>
                <w:b/>
              </w:rPr>
              <w:t>Requirement</w:t>
            </w:r>
          </w:p>
        </w:tc>
        <w:tc>
          <w:tcPr>
            <w:tcW w:w="3544" w:type="dxa"/>
            <w:tcBorders>
              <w:left w:val="nil"/>
            </w:tcBorders>
            <w:shd w:val="clear" w:color="auto" w:fill="D9D9D9"/>
          </w:tcPr>
          <w:p w14:paraId="21A98C2F" w14:textId="77777777" w:rsidR="00AE53B3" w:rsidRPr="00E13296" w:rsidRDefault="00AE53B3" w:rsidP="00AE53B3">
            <w:pPr>
              <w:spacing w:before="60" w:after="60"/>
              <w:rPr>
                <w:rFonts w:ascii="Calibri" w:hAnsi="Calibri" w:cs="Calibri"/>
                <w:b/>
              </w:rPr>
            </w:pPr>
            <w:r>
              <w:rPr>
                <w:rFonts w:ascii="Calibri" w:hAnsi="Calibri" w:cs="Calibri"/>
                <w:b/>
              </w:rPr>
              <w:t>Due date</w:t>
            </w:r>
          </w:p>
        </w:tc>
      </w:tr>
      <w:tr w:rsidR="00AE53B3" w:rsidRPr="003B70CD" w14:paraId="3AD7E3DC" w14:textId="77777777" w:rsidTr="00AE53B3">
        <w:tc>
          <w:tcPr>
            <w:tcW w:w="4928" w:type="dxa"/>
            <w:tcBorders>
              <w:right w:val="nil"/>
            </w:tcBorders>
          </w:tcPr>
          <w:p w14:paraId="726971F0" w14:textId="7E3657EE" w:rsidR="00AE53B3" w:rsidRPr="00E13296" w:rsidRDefault="005444F2" w:rsidP="005444F2">
            <w:pPr>
              <w:spacing w:before="60" w:after="60"/>
              <w:rPr>
                <w:rFonts w:ascii="Calibri" w:hAnsi="Calibri" w:cs="Calibri"/>
              </w:rPr>
            </w:pPr>
            <w:r>
              <w:rPr>
                <w:rFonts w:ascii="Calibri" w:hAnsi="Calibri" w:cs="Calibri"/>
              </w:rPr>
              <w:t>Quarterly phasings (for each quarter and year to date)</w:t>
            </w:r>
            <w:r w:rsidR="009107CC">
              <w:rPr>
                <w:rFonts w:ascii="Calibri" w:hAnsi="Calibri" w:cs="Calibri"/>
              </w:rPr>
              <w:t xml:space="preserve"> </w:t>
            </w:r>
            <w:r w:rsidR="00497D18" w:rsidRPr="00497D18">
              <w:rPr>
                <w:rFonts w:ascii="Calibri" w:hAnsi="Calibri" w:cs="Calibri"/>
              </w:rPr>
              <w:t>and annualised Full Time Equivalents</w:t>
            </w:r>
            <w:r w:rsidR="00497D18">
              <w:rPr>
                <w:rFonts w:ascii="Calibri" w:hAnsi="Calibri" w:cs="Calibri"/>
              </w:rPr>
              <w:t xml:space="preserve"> </w:t>
            </w:r>
            <w:r w:rsidR="009107CC">
              <w:rPr>
                <w:rFonts w:ascii="Calibri" w:hAnsi="Calibri" w:cs="Calibri"/>
              </w:rPr>
              <w:t xml:space="preserve">from </w:t>
            </w:r>
            <w:r w:rsidR="000D07E6">
              <w:rPr>
                <w:rFonts w:ascii="Calibri" w:hAnsi="Calibri" w:cs="Calibri"/>
              </w:rPr>
              <w:t xml:space="preserve">the </w:t>
            </w:r>
            <w:r w:rsidR="009107CC">
              <w:rPr>
                <w:rFonts w:ascii="Calibri" w:hAnsi="Calibri" w:cs="Calibri"/>
              </w:rPr>
              <w:t>Business Plan</w:t>
            </w:r>
          </w:p>
        </w:tc>
        <w:tc>
          <w:tcPr>
            <w:tcW w:w="3544" w:type="dxa"/>
            <w:tcBorders>
              <w:left w:val="nil"/>
            </w:tcBorders>
          </w:tcPr>
          <w:p w14:paraId="5244F781" w14:textId="77777777" w:rsidR="00AE53B3" w:rsidRPr="00E13296" w:rsidRDefault="00AE53B3" w:rsidP="005444F2">
            <w:pPr>
              <w:spacing w:before="60" w:after="60"/>
              <w:rPr>
                <w:rFonts w:ascii="Calibri" w:hAnsi="Calibri" w:cs="Calibri"/>
              </w:rPr>
            </w:pPr>
            <w:r>
              <w:rPr>
                <w:rFonts w:ascii="Calibri" w:hAnsi="Calibri" w:cs="Calibri"/>
              </w:rPr>
              <w:t xml:space="preserve">Last business day in </w:t>
            </w:r>
            <w:r w:rsidR="005444F2">
              <w:rPr>
                <w:rFonts w:ascii="Calibri" w:hAnsi="Calibri" w:cs="Calibri"/>
              </w:rPr>
              <w:t>January</w:t>
            </w:r>
          </w:p>
        </w:tc>
      </w:tr>
    </w:tbl>
    <w:p w14:paraId="074D3A27" w14:textId="77777777" w:rsidR="00AE53B3" w:rsidRPr="008A2346" w:rsidRDefault="00AE53B3" w:rsidP="00AE53B3">
      <w:pPr>
        <w:rPr>
          <w:rFonts w:ascii="Calibri" w:hAnsi="Calibri"/>
        </w:rPr>
      </w:pPr>
    </w:p>
    <w:p w14:paraId="38BCABBB" w14:textId="05D8419F" w:rsidR="005A4E46" w:rsidRPr="008A2346" w:rsidRDefault="00497D18" w:rsidP="005A4E46">
      <w:pPr>
        <w:pStyle w:val="Heading3"/>
        <w:rPr>
          <w:rFonts w:ascii="Calibri" w:hAnsi="Calibri"/>
        </w:rPr>
      </w:pPr>
      <w:bookmarkStart w:id="36" w:name="_Toc340830055"/>
      <w:bookmarkStart w:id="37" w:name="_Toc343609457"/>
      <w:r>
        <w:rPr>
          <w:rFonts w:ascii="Calibri" w:hAnsi="Calibri"/>
        </w:rPr>
        <w:br w:type="page"/>
      </w:r>
      <w:bookmarkStart w:id="38" w:name="_Toc353436447"/>
      <w:r w:rsidR="005A4E46" w:rsidRPr="008A2346">
        <w:rPr>
          <w:rFonts w:ascii="Calibri" w:hAnsi="Calibri"/>
        </w:rPr>
        <w:lastRenderedPageBreak/>
        <w:t xml:space="preserve">Guideline </w:t>
      </w:r>
      <w:r w:rsidR="00463E85">
        <w:rPr>
          <w:rFonts w:ascii="Calibri" w:hAnsi="Calibri"/>
        </w:rPr>
        <w:t>5</w:t>
      </w:r>
      <w:r w:rsidR="005A4E46" w:rsidRPr="008A2346">
        <w:rPr>
          <w:rFonts w:ascii="Calibri" w:hAnsi="Calibri"/>
        </w:rPr>
        <w:t xml:space="preserve"> – </w:t>
      </w:r>
      <w:r w:rsidR="00693685">
        <w:rPr>
          <w:rFonts w:ascii="Calibri" w:hAnsi="Calibri"/>
        </w:rPr>
        <w:t>Monitoring and reporting</w:t>
      </w:r>
      <w:r w:rsidR="00A52F89">
        <w:rPr>
          <w:rFonts w:ascii="Calibri" w:hAnsi="Calibri"/>
        </w:rPr>
        <w:t xml:space="preserve"> by the TAFE Institute and Board</w:t>
      </w:r>
      <w:bookmarkEnd w:id="36"/>
      <w:bookmarkEnd w:id="37"/>
      <w:bookmarkEnd w:id="38"/>
    </w:p>
    <w:p w14:paraId="3914FC4D" w14:textId="77777777" w:rsidR="001B51DC" w:rsidRDefault="00E47904" w:rsidP="009E7845">
      <w:pPr>
        <w:numPr>
          <w:ilvl w:val="0"/>
          <w:numId w:val="5"/>
        </w:numPr>
        <w:rPr>
          <w:rFonts w:ascii="Calibri" w:hAnsi="Calibri"/>
        </w:rPr>
      </w:pPr>
      <w:r>
        <w:rPr>
          <w:rFonts w:ascii="Calibri" w:hAnsi="Calibri"/>
        </w:rPr>
        <w:t>TAFE institutes must report as required by</w:t>
      </w:r>
      <w:r w:rsidR="00316E97">
        <w:rPr>
          <w:rFonts w:ascii="Calibri" w:hAnsi="Calibri"/>
        </w:rPr>
        <w:t xml:space="preserve"> –</w:t>
      </w:r>
      <w:r>
        <w:rPr>
          <w:rFonts w:ascii="Calibri" w:hAnsi="Calibri"/>
        </w:rPr>
        <w:t xml:space="preserve"> </w:t>
      </w:r>
    </w:p>
    <w:p w14:paraId="751FE7DE" w14:textId="77777777" w:rsidR="001B51DC" w:rsidRDefault="001B51DC" w:rsidP="001B51DC">
      <w:pPr>
        <w:ind w:left="720"/>
        <w:rPr>
          <w:rFonts w:ascii="Calibri" w:hAnsi="Calibri"/>
        </w:rPr>
      </w:pPr>
    </w:p>
    <w:p w14:paraId="640F1DF1" w14:textId="77777777" w:rsidR="001B51DC" w:rsidRDefault="00E47904" w:rsidP="009E7845">
      <w:pPr>
        <w:numPr>
          <w:ilvl w:val="0"/>
          <w:numId w:val="10"/>
        </w:numPr>
        <w:ind w:hanging="731"/>
        <w:rPr>
          <w:rFonts w:ascii="Calibri" w:hAnsi="Calibri"/>
        </w:rPr>
      </w:pPr>
      <w:r>
        <w:rPr>
          <w:rFonts w:ascii="Calibri" w:hAnsi="Calibri"/>
        </w:rPr>
        <w:t>the Act</w:t>
      </w:r>
      <w:r w:rsidR="001B51DC">
        <w:rPr>
          <w:rFonts w:ascii="Calibri" w:hAnsi="Calibri"/>
        </w:rPr>
        <w:t>;</w:t>
      </w:r>
    </w:p>
    <w:p w14:paraId="32FC8EC7" w14:textId="77777777" w:rsidR="001B51DC" w:rsidRDefault="001B51DC" w:rsidP="001B51DC">
      <w:pPr>
        <w:ind w:left="1440"/>
        <w:rPr>
          <w:rFonts w:ascii="Calibri" w:hAnsi="Calibri"/>
        </w:rPr>
      </w:pPr>
    </w:p>
    <w:p w14:paraId="1DFE352C" w14:textId="77777777" w:rsidR="001B51DC" w:rsidRDefault="001B51DC" w:rsidP="009E7845">
      <w:pPr>
        <w:numPr>
          <w:ilvl w:val="0"/>
          <w:numId w:val="10"/>
        </w:numPr>
        <w:ind w:hanging="731"/>
        <w:rPr>
          <w:rFonts w:ascii="Calibri" w:hAnsi="Calibri"/>
        </w:rPr>
      </w:pPr>
      <w:r>
        <w:rPr>
          <w:rFonts w:ascii="Calibri" w:hAnsi="Calibri"/>
        </w:rPr>
        <w:t>other</w:t>
      </w:r>
      <w:r w:rsidR="00DD0E3E">
        <w:rPr>
          <w:rFonts w:ascii="Calibri" w:hAnsi="Calibri"/>
        </w:rPr>
        <w:t xml:space="preserve"> applicable legislation</w:t>
      </w:r>
      <w:r>
        <w:rPr>
          <w:rFonts w:ascii="Calibri" w:hAnsi="Calibri"/>
        </w:rPr>
        <w:t xml:space="preserve">; </w:t>
      </w:r>
    </w:p>
    <w:p w14:paraId="3C4A9A66" w14:textId="77777777" w:rsidR="00EA2F70" w:rsidRDefault="00EA2F70" w:rsidP="00EA2F70">
      <w:pPr>
        <w:ind w:left="1440"/>
        <w:rPr>
          <w:rFonts w:ascii="Calibri" w:hAnsi="Calibri"/>
        </w:rPr>
      </w:pPr>
    </w:p>
    <w:p w14:paraId="1512047D" w14:textId="77777777" w:rsidR="00F41CFD" w:rsidRDefault="001B51DC" w:rsidP="009E7845">
      <w:pPr>
        <w:numPr>
          <w:ilvl w:val="0"/>
          <w:numId w:val="10"/>
        </w:numPr>
        <w:ind w:hanging="731"/>
        <w:rPr>
          <w:rFonts w:ascii="Calibri" w:hAnsi="Calibri"/>
        </w:rPr>
      </w:pPr>
      <w:r w:rsidRPr="00F41CFD">
        <w:rPr>
          <w:rFonts w:ascii="Calibri" w:hAnsi="Calibri"/>
        </w:rPr>
        <w:t>Ministerial and Government directions and guidelines under the Act and other legislation, laws and conventions</w:t>
      </w:r>
      <w:r w:rsidR="00F41CFD">
        <w:rPr>
          <w:rFonts w:ascii="Calibri" w:hAnsi="Calibri"/>
        </w:rPr>
        <w:t>; and</w:t>
      </w:r>
    </w:p>
    <w:p w14:paraId="6F42E32F" w14:textId="77777777" w:rsidR="00F41CFD" w:rsidRDefault="00F41CFD" w:rsidP="00F41CFD">
      <w:pPr>
        <w:pStyle w:val="ListParagraph"/>
        <w:rPr>
          <w:rFonts w:ascii="Calibri" w:hAnsi="Calibri"/>
        </w:rPr>
      </w:pPr>
    </w:p>
    <w:p w14:paraId="74126F9E" w14:textId="77777777" w:rsidR="00525A87" w:rsidRDefault="005702B7" w:rsidP="009E7845">
      <w:pPr>
        <w:numPr>
          <w:ilvl w:val="0"/>
          <w:numId w:val="10"/>
        </w:numPr>
        <w:ind w:hanging="731"/>
        <w:rPr>
          <w:rFonts w:ascii="Calibri" w:hAnsi="Calibri"/>
        </w:rPr>
      </w:pPr>
      <w:proofErr w:type="gramStart"/>
      <w:r>
        <w:rPr>
          <w:rFonts w:ascii="Calibri" w:hAnsi="Calibri"/>
        </w:rPr>
        <w:t>the</w:t>
      </w:r>
      <w:proofErr w:type="gramEnd"/>
      <w:r w:rsidR="00F41CFD">
        <w:rPr>
          <w:rFonts w:ascii="Calibri" w:hAnsi="Calibri"/>
        </w:rPr>
        <w:t xml:space="preserve"> VET funding contract</w:t>
      </w:r>
      <w:r w:rsidR="001B51DC">
        <w:rPr>
          <w:rFonts w:ascii="Calibri" w:hAnsi="Calibri"/>
        </w:rPr>
        <w:t>.</w:t>
      </w:r>
      <w:r w:rsidR="00DD0E3E">
        <w:rPr>
          <w:rFonts w:ascii="Calibri" w:hAnsi="Calibri"/>
        </w:rPr>
        <w:t xml:space="preserve"> </w:t>
      </w:r>
    </w:p>
    <w:p w14:paraId="0250EFD2" w14:textId="77777777" w:rsidR="00F823F7" w:rsidRDefault="00F823F7" w:rsidP="00F823F7">
      <w:pPr>
        <w:ind w:left="720"/>
        <w:rPr>
          <w:rFonts w:ascii="Calibri" w:hAnsi="Calibri"/>
        </w:rPr>
      </w:pPr>
    </w:p>
    <w:p w14:paraId="760D02A8" w14:textId="02E50003" w:rsidR="005A4E46" w:rsidRDefault="005A4E46" w:rsidP="009E7845">
      <w:pPr>
        <w:numPr>
          <w:ilvl w:val="0"/>
          <w:numId w:val="5"/>
        </w:numPr>
        <w:rPr>
          <w:rFonts w:ascii="Calibri" w:hAnsi="Calibri"/>
        </w:rPr>
      </w:pPr>
      <w:r w:rsidRPr="008A2346">
        <w:rPr>
          <w:rFonts w:ascii="Calibri" w:hAnsi="Calibri"/>
        </w:rPr>
        <w:t xml:space="preserve">The </w:t>
      </w:r>
      <w:r w:rsidR="00096816">
        <w:rPr>
          <w:rFonts w:ascii="Calibri" w:hAnsi="Calibri"/>
        </w:rPr>
        <w:t>B</w:t>
      </w:r>
      <w:r>
        <w:rPr>
          <w:rFonts w:ascii="Calibri" w:hAnsi="Calibri"/>
        </w:rPr>
        <w:t xml:space="preserve">oard </w:t>
      </w:r>
      <w:r w:rsidRPr="008A2346">
        <w:rPr>
          <w:rFonts w:ascii="Calibri" w:hAnsi="Calibri"/>
        </w:rPr>
        <w:t xml:space="preserve">must </w:t>
      </w:r>
      <w:r w:rsidR="00F15F1C">
        <w:rPr>
          <w:rFonts w:ascii="Calibri" w:hAnsi="Calibri"/>
        </w:rPr>
        <w:t xml:space="preserve">regularly </w:t>
      </w:r>
      <w:r w:rsidR="006B57A7">
        <w:rPr>
          <w:rFonts w:ascii="Calibri" w:hAnsi="Calibri"/>
        </w:rPr>
        <w:t xml:space="preserve">monitor </w:t>
      </w:r>
      <w:r w:rsidR="006647A5">
        <w:rPr>
          <w:rFonts w:ascii="Calibri" w:hAnsi="Calibri"/>
        </w:rPr>
        <w:t xml:space="preserve">its </w:t>
      </w:r>
      <w:r w:rsidR="006B57A7">
        <w:rPr>
          <w:rFonts w:ascii="Calibri" w:hAnsi="Calibri"/>
        </w:rPr>
        <w:t xml:space="preserve">performance against the financial and non-financial performance measures that are included </w:t>
      </w:r>
      <w:r w:rsidR="00497D18">
        <w:rPr>
          <w:rFonts w:ascii="Calibri" w:hAnsi="Calibri"/>
        </w:rPr>
        <w:t xml:space="preserve">in </w:t>
      </w:r>
      <w:r w:rsidR="006B57A7">
        <w:rPr>
          <w:rFonts w:ascii="Calibri" w:hAnsi="Calibri"/>
        </w:rPr>
        <w:t>its strategic plan</w:t>
      </w:r>
      <w:r w:rsidR="00F15F1C">
        <w:rPr>
          <w:rFonts w:ascii="Calibri" w:hAnsi="Calibri"/>
        </w:rPr>
        <w:t>,</w:t>
      </w:r>
      <w:r w:rsidR="006B57A7">
        <w:rPr>
          <w:rFonts w:ascii="Calibri" w:hAnsi="Calibri"/>
        </w:rPr>
        <w:t xml:space="preserve"> statement of corporate intent </w:t>
      </w:r>
      <w:r w:rsidR="00F15F1C">
        <w:rPr>
          <w:rFonts w:ascii="Calibri" w:hAnsi="Calibri"/>
        </w:rPr>
        <w:t>and</w:t>
      </w:r>
      <w:r w:rsidR="00497D18">
        <w:rPr>
          <w:rFonts w:ascii="Calibri" w:hAnsi="Calibri"/>
        </w:rPr>
        <w:t xml:space="preserve"> the</w:t>
      </w:r>
      <w:r w:rsidR="00F15F1C">
        <w:rPr>
          <w:rFonts w:ascii="Calibri" w:hAnsi="Calibri"/>
        </w:rPr>
        <w:t xml:space="preserve"> </w:t>
      </w:r>
      <w:r w:rsidR="00497D18">
        <w:rPr>
          <w:rFonts w:ascii="Calibri" w:hAnsi="Calibri"/>
        </w:rPr>
        <w:t>B</w:t>
      </w:r>
      <w:r w:rsidR="00F15F1C">
        <w:rPr>
          <w:rFonts w:ascii="Calibri" w:hAnsi="Calibri"/>
        </w:rPr>
        <w:t xml:space="preserve">usiness </w:t>
      </w:r>
      <w:r w:rsidR="00497D18">
        <w:rPr>
          <w:rFonts w:ascii="Calibri" w:hAnsi="Calibri"/>
        </w:rPr>
        <w:t>P</w:t>
      </w:r>
      <w:r w:rsidR="00F15F1C">
        <w:rPr>
          <w:rFonts w:ascii="Calibri" w:hAnsi="Calibri"/>
        </w:rPr>
        <w:t>lan</w:t>
      </w:r>
      <w:r w:rsidRPr="008A2346">
        <w:rPr>
          <w:rFonts w:ascii="Calibri" w:hAnsi="Calibri"/>
        </w:rPr>
        <w:t>.</w:t>
      </w:r>
    </w:p>
    <w:p w14:paraId="6C2BF026" w14:textId="77777777" w:rsidR="00CF2E98" w:rsidRDefault="00CF2E98" w:rsidP="00CF2E98">
      <w:pPr>
        <w:ind w:left="720"/>
        <w:rPr>
          <w:rFonts w:ascii="Calibri" w:hAnsi="Calibri"/>
        </w:rPr>
      </w:pPr>
    </w:p>
    <w:p w14:paraId="6CA8E228" w14:textId="77777777" w:rsidR="008E3E26" w:rsidRPr="008E3E26" w:rsidRDefault="008E3E26" w:rsidP="008E3E26">
      <w:pPr>
        <w:rPr>
          <w:rFonts w:ascii="Calibri" w:hAnsi="Calibri"/>
          <w:b/>
          <w:i/>
        </w:rPr>
      </w:pPr>
      <w:r>
        <w:rPr>
          <w:rFonts w:ascii="Calibri" w:hAnsi="Calibri"/>
          <w:b/>
          <w:i/>
        </w:rPr>
        <w:t>Continuous dis</w:t>
      </w:r>
      <w:r w:rsidR="008800FD">
        <w:rPr>
          <w:rFonts w:ascii="Calibri" w:hAnsi="Calibri"/>
          <w:b/>
          <w:i/>
        </w:rPr>
        <w:t>closure requirements</w:t>
      </w:r>
    </w:p>
    <w:p w14:paraId="25F8F837" w14:textId="77777777" w:rsidR="008E3E26" w:rsidRDefault="008E3E26" w:rsidP="00CF2E98">
      <w:pPr>
        <w:ind w:left="720"/>
        <w:rPr>
          <w:rFonts w:ascii="Calibri" w:hAnsi="Calibri"/>
        </w:rPr>
      </w:pPr>
    </w:p>
    <w:p w14:paraId="5B572E2B" w14:textId="77777777" w:rsidR="00CF2E98" w:rsidRDefault="006B57A7" w:rsidP="009E7845">
      <w:pPr>
        <w:numPr>
          <w:ilvl w:val="0"/>
          <w:numId w:val="5"/>
        </w:numPr>
        <w:rPr>
          <w:rFonts w:ascii="Calibri" w:hAnsi="Calibri"/>
        </w:rPr>
      </w:pPr>
      <w:r>
        <w:rPr>
          <w:rFonts w:ascii="Calibri" w:hAnsi="Calibri"/>
        </w:rPr>
        <w:t xml:space="preserve">The Board </w:t>
      </w:r>
      <w:r w:rsidR="00CF2E98">
        <w:rPr>
          <w:rFonts w:ascii="Calibri" w:hAnsi="Calibri"/>
        </w:rPr>
        <w:t xml:space="preserve">must advise the Deputy Secretary </w:t>
      </w:r>
      <w:r w:rsidR="00CF2E98" w:rsidRPr="00CF2E98">
        <w:rPr>
          <w:rFonts w:ascii="Calibri" w:hAnsi="Calibri"/>
        </w:rPr>
        <w:t xml:space="preserve">as soon as </w:t>
      </w:r>
      <w:r w:rsidR="00CC71D5">
        <w:rPr>
          <w:rFonts w:ascii="Calibri" w:hAnsi="Calibri"/>
        </w:rPr>
        <w:t xml:space="preserve">it </w:t>
      </w:r>
      <w:r w:rsidR="00CF2E98" w:rsidRPr="00CF2E98">
        <w:rPr>
          <w:rFonts w:ascii="Calibri" w:hAnsi="Calibri"/>
        </w:rPr>
        <w:t>become</w:t>
      </w:r>
      <w:r w:rsidR="00CC71D5">
        <w:rPr>
          <w:rFonts w:ascii="Calibri" w:hAnsi="Calibri"/>
        </w:rPr>
        <w:t>s</w:t>
      </w:r>
      <w:r w:rsidR="00CF2E98" w:rsidRPr="00CF2E98">
        <w:rPr>
          <w:rFonts w:ascii="Calibri" w:hAnsi="Calibri"/>
        </w:rPr>
        <w:t xml:space="preserve"> aware of</w:t>
      </w:r>
      <w:r w:rsidR="00CC71D5">
        <w:rPr>
          <w:rFonts w:ascii="Calibri" w:hAnsi="Calibri"/>
        </w:rPr>
        <w:t> </w:t>
      </w:r>
      <w:r w:rsidR="00316E97">
        <w:rPr>
          <w:rFonts w:ascii="Calibri" w:hAnsi="Calibri"/>
        </w:rPr>
        <w:t>–</w:t>
      </w:r>
    </w:p>
    <w:p w14:paraId="3A931FCF" w14:textId="77777777" w:rsidR="00CF2E98" w:rsidRPr="00CF2E98" w:rsidRDefault="00CF2E98" w:rsidP="002171DF">
      <w:pPr>
        <w:ind w:left="720"/>
        <w:rPr>
          <w:rFonts w:ascii="Calibri" w:hAnsi="Calibri"/>
        </w:rPr>
      </w:pPr>
    </w:p>
    <w:p w14:paraId="3938092A" w14:textId="77777777" w:rsidR="00CF2E98" w:rsidRDefault="00CF2E98" w:rsidP="009E7845">
      <w:pPr>
        <w:numPr>
          <w:ilvl w:val="0"/>
          <w:numId w:val="9"/>
        </w:numPr>
        <w:ind w:hanging="731"/>
        <w:rPr>
          <w:rFonts w:ascii="Calibri" w:hAnsi="Calibri"/>
        </w:rPr>
      </w:pPr>
      <w:r w:rsidRPr="00CF2E98">
        <w:rPr>
          <w:rFonts w:ascii="Calibri" w:hAnsi="Calibri"/>
        </w:rPr>
        <w:t xml:space="preserve">significant variations to strategies compared to </w:t>
      </w:r>
      <w:r w:rsidR="002171DF">
        <w:rPr>
          <w:rFonts w:ascii="Calibri" w:hAnsi="Calibri"/>
        </w:rPr>
        <w:t xml:space="preserve">the strategic </w:t>
      </w:r>
      <w:r w:rsidRPr="00CF2E98">
        <w:rPr>
          <w:rFonts w:ascii="Calibri" w:hAnsi="Calibri"/>
        </w:rPr>
        <w:t>plan</w:t>
      </w:r>
      <w:r w:rsidR="00C55D4D">
        <w:rPr>
          <w:rFonts w:ascii="Calibri" w:hAnsi="Calibri"/>
        </w:rPr>
        <w:t>,</w:t>
      </w:r>
      <w:r w:rsidR="002171DF">
        <w:rPr>
          <w:rFonts w:ascii="Calibri" w:hAnsi="Calibri"/>
        </w:rPr>
        <w:t xml:space="preserve"> statement of corporate intent</w:t>
      </w:r>
      <w:r w:rsidR="00C55D4D">
        <w:rPr>
          <w:rFonts w:ascii="Calibri" w:hAnsi="Calibri"/>
        </w:rPr>
        <w:t xml:space="preserve"> or </w:t>
      </w:r>
      <w:r w:rsidR="00490A20">
        <w:rPr>
          <w:rFonts w:ascii="Calibri" w:hAnsi="Calibri"/>
        </w:rPr>
        <w:t>B</w:t>
      </w:r>
      <w:r w:rsidR="00C55D4D">
        <w:rPr>
          <w:rFonts w:ascii="Calibri" w:hAnsi="Calibri"/>
        </w:rPr>
        <w:t xml:space="preserve">usiness </w:t>
      </w:r>
      <w:r w:rsidR="00490A20">
        <w:rPr>
          <w:rFonts w:ascii="Calibri" w:hAnsi="Calibri"/>
        </w:rPr>
        <w:t>P</w:t>
      </w:r>
      <w:r w:rsidR="00C55D4D">
        <w:rPr>
          <w:rFonts w:ascii="Calibri" w:hAnsi="Calibri"/>
        </w:rPr>
        <w:t>lan</w:t>
      </w:r>
      <w:r w:rsidRPr="00CF2E98">
        <w:rPr>
          <w:rFonts w:ascii="Calibri" w:hAnsi="Calibri"/>
        </w:rPr>
        <w:t>;</w:t>
      </w:r>
    </w:p>
    <w:p w14:paraId="35C4563E" w14:textId="77777777" w:rsidR="002171DF" w:rsidRPr="00CF2E98" w:rsidRDefault="002171DF" w:rsidP="002171DF">
      <w:pPr>
        <w:ind w:left="1440"/>
        <w:rPr>
          <w:rFonts w:ascii="Calibri" w:hAnsi="Calibri"/>
        </w:rPr>
      </w:pPr>
    </w:p>
    <w:p w14:paraId="482D5506" w14:textId="77777777" w:rsidR="002171DF" w:rsidRPr="002171DF" w:rsidRDefault="00CF2E98" w:rsidP="009E7845">
      <w:pPr>
        <w:numPr>
          <w:ilvl w:val="0"/>
          <w:numId w:val="9"/>
        </w:numPr>
        <w:ind w:hanging="731"/>
        <w:rPr>
          <w:rFonts w:ascii="Calibri" w:hAnsi="Calibri"/>
        </w:rPr>
      </w:pPr>
      <w:r w:rsidRPr="00CF2E98">
        <w:rPr>
          <w:rFonts w:ascii="Calibri" w:hAnsi="Calibri"/>
        </w:rPr>
        <w:t xml:space="preserve">significant variations to the timing of capital investments compared to </w:t>
      </w:r>
      <w:r w:rsidR="00C55D4D">
        <w:rPr>
          <w:rFonts w:ascii="Calibri" w:hAnsi="Calibri"/>
        </w:rPr>
        <w:t xml:space="preserve">the strategic plan, statement of corporate intent or </w:t>
      </w:r>
      <w:r w:rsidR="00490A20">
        <w:rPr>
          <w:rFonts w:ascii="Calibri" w:hAnsi="Calibri"/>
        </w:rPr>
        <w:t>B</w:t>
      </w:r>
      <w:r w:rsidR="00C55D4D">
        <w:rPr>
          <w:rFonts w:ascii="Calibri" w:hAnsi="Calibri"/>
        </w:rPr>
        <w:t xml:space="preserve">usiness </w:t>
      </w:r>
      <w:r w:rsidR="00490A20">
        <w:rPr>
          <w:rFonts w:ascii="Calibri" w:hAnsi="Calibri"/>
        </w:rPr>
        <w:t>P</w:t>
      </w:r>
      <w:r w:rsidRPr="00CF2E98">
        <w:rPr>
          <w:rFonts w:ascii="Calibri" w:hAnsi="Calibri"/>
        </w:rPr>
        <w:t>lan;</w:t>
      </w:r>
    </w:p>
    <w:p w14:paraId="0E23B27B" w14:textId="77777777" w:rsidR="002171DF" w:rsidRPr="00CF2E98" w:rsidRDefault="002171DF" w:rsidP="002171DF">
      <w:pPr>
        <w:ind w:left="1440"/>
        <w:rPr>
          <w:rFonts w:ascii="Calibri" w:hAnsi="Calibri"/>
        </w:rPr>
      </w:pPr>
    </w:p>
    <w:p w14:paraId="0A82D05C" w14:textId="77777777" w:rsidR="00CF2E98" w:rsidRPr="00CF2E98" w:rsidRDefault="00CF2E98" w:rsidP="009E7845">
      <w:pPr>
        <w:numPr>
          <w:ilvl w:val="0"/>
          <w:numId w:val="9"/>
        </w:numPr>
        <w:ind w:hanging="731"/>
        <w:rPr>
          <w:rFonts w:ascii="Calibri" w:hAnsi="Calibri"/>
        </w:rPr>
      </w:pPr>
      <w:r w:rsidRPr="00CF2E98">
        <w:rPr>
          <w:rFonts w:ascii="Calibri" w:hAnsi="Calibri"/>
        </w:rPr>
        <w:t>a material variation (+/- 1</w:t>
      </w:r>
      <w:r w:rsidR="00490A20">
        <w:rPr>
          <w:rFonts w:ascii="Calibri" w:hAnsi="Calibri"/>
        </w:rPr>
        <w:t>0</w:t>
      </w:r>
      <w:r w:rsidRPr="00CF2E98">
        <w:rPr>
          <w:rFonts w:ascii="Calibri" w:hAnsi="Calibri"/>
        </w:rPr>
        <w:t>% or more)</w:t>
      </w:r>
      <w:r w:rsidR="00C55D4D">
        <w:rPr>
          <w:rFonts w:ascii="Calibri" w:hAnsi="Calibri"/>
        </w:rPr>
        <w:t xml:space="preserve"> </w:t>
      </w:r>
      <w:r w:rsidRPr="00CF2E98">
        <w:rPr>
          <w:rFonts w:ascii="Calibri" w:hAnsi="Calibri"/>
        </w:rPr>
        <w:t xml:space="preserve">in forecast full year profit or cash flow from operating activities compared to </w:t>
      </w:r>
      <w:r w:rsidR="00F41CFD">
        <w:rPr>
          <w:rFonts w:ascii="Calibri" w:hAnsi="Calibri"/>
        </w:rPr>
        <w:t xml:space="preserve">the </w:t>
      </w:r>
      <w:r w:rsidR="00490A20">
        <w:rPr>
          <w:rFonts w:ascii="Calibri" w:hAnsi="Calibri"/>
        </w:rPr>
        <w:t>B</w:t>
      </w:r>
      <w:r w:rsidR="00F41CFD">
        <w:rPr>
          <w:rFonts w:ascii="Calibri" w:hAnsi="Calibri"/>
        </w:rPr>
        <w:t xml:space="preserve">usiness </w:t>
      </w:r>
      <w:r w:rsidR="00490A20">
        <w:rPr>
          <w:rFonts w:ascii="Calibri" w:hAnsi="Calibri"/>
        </w:rPr>
        <w:t>P</w:t>
      </w:r>
      <w:r w:rsidRPr="00CF2E98">
        <w:rPr>
          <w:rFonts w:ascii="Calibri" w:hAnsi="Calibri"/>
        </w:rPr>
        <w:t>lan;</w:t>
      </w:r>
    </w:p>
    <w:p w14:paraId="57800B53" w14:textId="77777777" w:rsidR="002171DF" w:rsidRDefault="002171DF" w:rsidP="002171DF">
      <w:pPr>
        <w:ind w:left="1440"/>
        <w:rPr>
          <w:rFonts w:ascii="Calibri" w:hAnsi="Calibri"/>
        </w:rPr>
      </w:pPr>
    </w:p>
    <w:p w14:paraId="663F47F1" w14:textId="77777777" w:rsidR="00CF2E98" w:rsidRPr="00CF2E98" w:rsidRDefault="00CF2E98" w:rsidP="009E7845">
      <w:pPr>
        <w:numPr>
          <w:ilvl w:val="0"/>
          <w:numId w:val="9"/>
        </w:numPr>
        <w:ind w:hanging="731"/>
        <w:rPr>
          <w:rFonts w:ascii="Calibri" w:hAnsi="Calibri"/>
        </w:rPr>
      </w:pPr>
      <w:r w:rsidRPr="00CF2E98">
        <w:rPr>
          <w:rFonts w:ascii="Calibri" w:hAnsi="Calibri"/>
        </w:rPr>
        <w:t xml:space="preserve">significant variation in </w:t>
      </w:r>
      <w:r w:rsidR="00CA669E">
        <w:rPr>
          <w:rFonts w:ascii="Calibri" w:hAnsi="Calibri"/>
        </w:rPr>
        <w:t xml:space="preserve">financial or non-financial performance measures </w:t>
      </w:r>
      <w:r w:rsidRPr="00CF2E98">
        <w:rPr>
          <w:rFonts w:ascii="Calibri" w:hAnsi="Calibri"/>
        </w:rPr>
        <w:t xml:space="preserve">compared to </w:t>
      </w:r>
      <w:r w:rsidR="00F41CFD">
        <w:rPr>
          <w:rFonts w:ascii="Calibri" w:hAnsi="Calibri"/>
        </w:rPr>
        <w:t xml:space="preserve">the </w:t>
      </w:r>
      <w:r w:rsidR="00490A20">
        <w:rPr>
          <w:rFonts w:ascii="Calibri" w:hAnsi="Calibri"/>
        </w:rPr>
        <w:t>B</w:t>
      </w:r>
      <w:r w:rsidR="00F41CFD">
        <w:rPr>
          <w:rFonts w:ascii="Calibri" w:hAnsi="Calibri"/>
        </w:rPr>
        <w:t xml:space="preserve">usiness </w:t>
      </w:r>
      <w:r w:rsidR="00490A20">
        <w:rPr>
          <w:rFonts w:ascii="Calibri" w:hAnsi="Calibri"/>
        </w:rPr>
        <w:t>P</w:t>
      </w:r>
      <w:r w:rsidRPr="00CF2E98">
        <w:rPr>
          <w:rFonts w:ascii="Calibri" w:hAnsi="Calibri"/>
        </w:rPr>
        <w:t>lan; and</w:t>
      </w:r>
    </w:p>
    <w:p w14:paraId="24B7CBC2" w14:textId="77777777" w:rsidR="002171DF" w:rsidRDefault="002171DF" w:rsidP="002171DF">
      <w:pPr>
        <w:ind w:left="1440"/>
        <w:rPr>
          <w:rFonts w:ascii="Calibri" w:hAnsi="Calibri"/>
        </w:rPr>
      </w:pPr>
    </w:p>
    <w:p w14:paraId="3A1097D6" w14:textId="0C32CD65" w:rsidR="006B57A7" w:rsidRPr="00CA669E" w:rsidRDefault="00CF2E98" w:rsidP="009E7845">
      <w:pPr>
        <w:numPr>
          <w:ilvl w:val="0"/>
          <w:numId w:val="9"/>
        </w:numPr>
        <w:ind w:hanging="731"/>
        <w:rPr>
          <w:rFonts w:ascii="Calibri" w:hAnsi="Calibri"/>
        </w:rPr>
      </w:pPr>
      <w:proofErr w:type="gramStart"/>
      <w:r w:rsidRPr="00CF2E98">
        <w:rPr>
          <w:rFonts w:ascii="Calibri" w:hAnsi="Calibri"/>
        </w:rPr>
        <w:t>an</w:t>
      </w:r>
      <w:r w:rsidR="000A39DB">
        <w:rPr>
          <w:rFonts w:ascii="Calibri" w:hAnsi="Calibri"/>
        </w:rPr>
        <w:t>y</w:t>
      </w:r>
      <w:proofErr w:type="gramEnd"/>
      <w:r w:rsidR="000A39DB">
        <w:rPr>
          <w:rFonts w:ascii="Calibri" w:hAnsi="Calibri"/>
        </w:rPr>
        <w:t xml:space="preserve"> financial or non-</w:t>
      </w:r>
      <w:r w:rsidRPr="00CF2E98">
        <w:rPr>
          <w:rFonts w:ascii="Calibri" w:hAnsi="Calibri"/>
        </w:rPr>
        <w:t>financial (including reputational) developments which may materially impact the TAFE institute or the Government.</w:t>
      </w:r>
    </w:p>
    <w:p w14:paraId="299DB5B9" w14:textId="77777777" w:rsidR="005A4E46" w:rsidRDefault="005A4E46" w:rsidP="005A4E46">
      <w:pPr>
        <w:rPr>
          <w:rFonts w:ascii="Calibri" w:hAnsi="Calibri"/>
        </w:rPr>
      </w:pPr>
    </w:p>
    <w:p w14:paraId="225150E7" w14:textId="77777777" w:rsidR="008800FD" w:rsidRDefault="008800FD" w:rsidP="000A39DB">
      <w:pPr>
        <w:keepNext/>
        <w:rPr>
          <w:rFonts w:ascii="Calibri" w:hAnsi="Calibri"/>
          <w:b/>
          <w:i/>
        </w:rPr>
      </w:pPr>
      <w:r w:rsidRPr="008800FD">
        <w:rPr>
          <w:rFonts w:ascii="Calibri" w:hAnsi="Calibri"/>
          <w:b/>
          <w:i/>
        </w:rPr>
        <w:t>Quarterly reporting requirements</w:t>
      </w:r>
    </w:p>
    <w:p w14:paraId="24996777" w14:textId="77777777" w:rsidR="00490A20" w:rsidRPr="008800FD" w:rsidRDefault="00490A20" w:rsidP="000A39DB">
      <w:pPr>
        <w:keepNext/>
        <w:rPr>
          <w:rFonts w:ascii="Calibri" w:hAnsi="Calibri"/>
          <w:b/>
          <w:i/>
        </w:rPr>
      </w:pPr>
    </w:p>
    <w:p w14:paraId="2C2306E4" w14:textId="77777777" w:rsidR="008800FD" w:rsidRPr="008800FD" w:rsidRDefault="008800FD" w:rsidP="000A39DB">
      <w:pPr>
        <w:keepNext/>
        <w:numPr>
          <w:ilvl w:val="0"/>
          <w:numId w:val="5"/>
        </w:numPr>
        <w:rPr>
          <w:rFonts w:ascii="Calibri" w:hAnsi="Calibri"/>
        </w:rPr>
      </w:pPr>
      <w:r w:rsidRPr="008800FD">
        <w:rPr>
          <w:rFonts w:ascii="Calibri" w:hAnsi="Calibri"/>
        </w:rPr>
        <w:t xml:space="preserve">Quarterly reports provide a summary of the TAFE institute’s performance against the targets established in the </w:t>
      </w:r>
      <w:r w:rsidR="00316E97">
        <w:rPr>
          <w:rFonts w:ascii="Calibri" w:hAnsi="Calibri"/>
        </w:rPr>
        <w:t>B</w:t>
      </w:r>
      <w:r w:rsidR="00CA0484">
        <w:rPr>
          <w:rFonts w:ascii="Calibri" w:hAnsi="Calibri"/>
        </w:rPr>
        <w:t xml:space="preserve">usiness </w:t>
      </w:r>
      <w:r w:rsidR="00316E97">
        <w:rPr>
          <w:rFonts w:ascii="Calibri" w:hAnsi="Calibri"/>
        </w:rPr>
        <w:t>P</w:t>
      </w:r>
      <w:r w:rsidR="00CA0484">
        <w:rPr>
          <w:rFonts w:ascii="Calibri" w:hAnsi="Calibri"/>
        </w:rPr>
        <w:t>lan</w:t>
      </w:r>
      <w:r w:rsidRPr="008800FD">
        <w:rPr>
          <w:rFonts w:ascii="Calibri" w:hAnsi="Calibri"/>
        </w:rPr>
        <w:t>.</w:t>
      </w:r>
    </w:p>
    <w:p w14:paraId="56CC1751" w14:textId="77777777" w:rsidR="005A4E46" w:rsidRPr="008A2346" w:rsidRDefault="005A4E46" w:rsidP="005A4E46">
      <w:pPr>
        <w:rPr>
          <w:rFonts w:ascii="Calibri" w:hAnsi="Calibri"/>
        </w:rPr>
      </w:pPr>
    </w:p>
    <w:p w14:paraId="6EA76AFF" w14:textId="2157B1F4" w:rsidR="008800FD" w:rsidRDefault="00824C96" w:rsidP="009E7845">
      <w:pPr>
        <w:numPr>
          <w:ilvl w:val="0"/>
          <w:numId w:val="5"/>
        </w:numPr>
        <w:rPr>
          <w:rFonts w:ascii="Calibri" w:hAnsi="Calibri"/>
        </w:rPr>
      </w:pPr>
      <w:r>
        <w:rPr>
          <w:rFonts w:ascii="Calibri" w:hAnsi="Calibri"/>
        </w:rPr>
        <w:t xml:space="preserve">The Board </w:t>
      </w:r>
      <w:r w:rsidR="008800FD" w:rsidRPr="008800FD">
        <w:rPr>
          <w:rFonts w:ascii="Calibri" w:hAnsi="Calibri"/>
        </w:rPr>
        <w:t xml:space="preserve">must provide </w:t>
      </w:r>
      <w:r>
        <w:rPr>
          <w:rFonts w:ascii="Calibri" w:hAnsi="Calibri"/>
        </w:rPr>
        <w:t xml:space="preserve">a </w:t>
      </w:r>
      <w:r w:rsidR="008800FD" w:rsidRPr="008800FD">
        <w:rPr>
          <w:rFonts w:ascii="Calibri" w:hAnsi="Calibri"/>
        </w:rPr>
        <w:t xml:space="preserve">report to </w:t>
      </w:r>
      <w:r>
        <w:rPr>
          <w:rFonts w:ascii="Calibri" w:hAnsi="Calibri"/>
        </w:rPr>
        <w:t xml:space="preserve">the Department on a quarterly basis </w:t>
      </w:r>
      <w:r w:rsidR="008800FD" w:rsidRPr="008800FD">
        <w:rPr>
          <w:rFonts w:ascii="Calibri" w:hAnsi="Calibri"/>
        </w:rPr>
        <w:t>containing the following information</w:t>
      </w:r>
      <w:r w:rsidR="00316E97">
        <w:rPr>
          <w:rFonts w:ascii="Calibri" w:hAnsi="Calibri"/>
        </w:rPr>
        <w:t xml:space="preserve"> –</w:t>
      </w:r>
    </w:p>
    <w:p w14:paraId="27C09A0C" w14:textId="77777777" w:rsidR="008800FD" w:rsidRPr="008800FD" w:rsidRDefault="008800FD" w:rsidP="008800FD">
      <w:pPr>
        <w:rPr>
          <w:rFonts w:ascii="Calibri" w:hAnsi="Calibri"/>
        </w:rPr>
      </w:pPr>
    </w:p>
    <w:p w14:paraId="22E276EF" w14:textId="0E39A47F" w:rsidR="008800FD" w:rsidRPr="005A7313" w:rsidRDefault="002B1819" w:rsidP="009E7845">
      <w:pPr>
        <w:numPr>
          <w:ilvl w:val="0"/>
          <w:numId w:val="11"/>
        </w:numPr>
        <w:ind w:hanging="731"/>
        <w:rPr>
          <w:rFonts w:ascii="Calibri" w:hAnsi="Calibri"/>
        </w:rPr>
      </w:pPr>
      <w:proofErr w:type="gramStart"/>
      <w:r>
        <w:rPr>
          <w:rFonts w:ascii="Calibri" w:hAnsi="Calibri"/>
        </w:rPr>
        <w:t>f</w:t>
      </w:r>
      <w:r w:rsidR="008800FD" w:rsidRPr="005A7313">
        <w:rPr>
          <w:rFonts w:ascii="Calibri" w:hAnsi="Calibri"/>
        </w:rPr>
        <w:t>inancial</w:t>
      </w:r>
      <w:proofErr w:type="gramEnd"/>
      <w:r w:rsidR="008800FD" w:rsidRPr="005A7313">
        <w:rPr>
          <w:rFonts w:ascii="Calibri" w:hAnsi="Calibri"/>
        </w:rPr>
        <w:t xml:space="preserve"> statements for the quarter and year to date (actual against plan)</w:t>
      </w:r>
      <w:r w:rsidR="00732780">
        <w:rPr>
          <w:rFonts w:ascii="Calibri" w:hAnsi="Calibri"/>
        </w:rPr>
        <w:t xml:space="preserve"> and the annualised Full Time Equivalents</w:t>
      </w:r>
      <w:r w:rsidR="008800FD" w:rsidRPr="005A7313">
        <w:rPr>
          <w:rFonts w:ascii="Calibri" w:hAnsi="Calibri"/>
        </w:rPr>
        <w:t xml:space="preserve">. The level of detail </w:t>
      </w:r>
      <w:r w:rsidR="008800FD" w:rsidRPr="005A7313">
        <w:rPr>
          <w:rFonts w:ascii="Calibri" w:hAnsi="Calibri"/>
        </w:rPr>
        <w:lastRenderedPageBreak/>
        <w:t xml:space="preserve">provided should be consistent with that provided in the </w:t>
      </w:r>
      <w:r w:rsidR="005A7313" w:rsidRPr="005A7313">
        <w:rPr>
          <w:rFonts w:ascii="Calibri" w:hAnsi="Calibri"/>
        </w:rPr>
        <w:t>quarterly phasings</w:t>
      </w:r>
      <w:r w:rsidR="00120080">
        <w:rPr>
          <w:rFonts w:ascii="Calibri" w:hAnsi="Calibri"/>
        </w:rPr>
        <w:t xml:space="preserve">, and include </w:t>
      </w:r>
      <w:r w:rsidR="000A39DB">
        <w:rPr>
          <w:rFonts w:ascii="Calibri" w:hAnsi="Calibri"/>
        </w:rPr>
        <w:t>cash flow</w:t>
      </w:r>
      <w:r w:rsidR="00120080">
        <w:rPr>
          <w:rFonts w:ascii="Calibri" w:hAnsi="Calibri"/>
        </w:rPr>
        <w:t xml:space="preserve"> forecast</w:t>
      </w:r>
      <w:r w:rsidR="00EA751C">
        <w:rPr>
          <w:rFonts w:ascii="Calibri" w:hAnsi="Calibri"/>
        </w:rPr>
        <w:t>s</w:t>
      </w:r>
      <w:r w:rsidR="00120080">
        <w:rPr>
          <w:rFonts w:ascii="Calibri" w:hAnsi="Calibri"/>
        </w:rPr>
        <w:t xml:space="preserve"> where requested</w:t>
      </w:r>
      <w:r w:rsidR="008800FD" w:rsidRPr="005A7313">
        <w:rPr>
          <w:rFonts w:ascii="Calibri" w:hAnsi="Calibri"/>
        </w:rPr>
        <w:t>;</w:t>
      </w:r>
    </w:p>
    <w:p w14:paraId="64F9679E" w14:textId="77777777" w:rsidR="008800FD" w:rsidRPr="005A7313" w:rsidRDefault="008800FD" w:rsidP="00B3090B">
      <w:pPr>
        <w:ind w:left="1440" w:hanging="731"/>
        <w:rPr>
          <w:rFonts w:ascii="Calibri" w:hAnsi="Calibri"/>
        </w:rPr>
      </w:pPr>
    </w:p>
    <w:p w14:paraId="4F090C76" w14:textId="470B30BB" w:rsidR="008800FD" w:rsidRPr="005A7313" w:rsidRDefault="000A39DB" w:rsidP="009E7845">
      <w:pPr>
        <w:numPr>
          <w:ilvl w:val="0"/>
          <w:numId w:val="11"/>
        </w:numPr>
        <w:ind w:hanging="731"/>
        <w:rPr>
          <w:rFonts w:ascii="Calibri" w:hAnsi="Calibri"/>
        </w:rPr>
      </w:pPr>
      <w:proofErr w:type="gramStart"/>
      <w:r>
        <w:rPr>
          <w:rFonts w:ascii="Calibri" w:hAnsi="Calibri"/>
        </w:rPr>
        <w:t>an</w:t>
      </w:r>
      <w:proofErr w:type="gramEnd"/>
      <w:r>
        <w:rPr>
          <w:rFonts w:ascii="Calibri" w:hAnsi="Calibri"/>
        </w:rPr>
        <w:t xml:space="preserve"> </w:t>
      </w:r>
      <w:r w:rsidR="002B1819">
        <w:rPr>
          <w:rFonts w:ascii="Calibri" w:hAnsi="Calibri"/>
        </w:rPr>
        <w:t>e</w:t>
      </w:r>
      <w:r w:rsidR="008800FD" w:rsidRPr="005A7313">
        <w:rPr>
          <w:rFonts w:ascii="Calibri" w:hAnsi="Calibri"/>
        </w:rPr>
        <w:t>xceptions based report on the TAFE institute’s performance for the quarter and year to date for all material variations</w:t>
      </w:r>
      <w:r w:rsidR="00A04187">
        <w:rPr>
          <w:rFonts w:ascii="Calibri" w:hAnsi="Calibri"/>
        </w:rPr>
        <w:t>.</w:t>
      </w:r>
      <w:r w:rsidR="008800FD" w:rsidRPr="005A7313">
        <w:rPr>
          <w:rFonts w:ascii="Calibri" w:hAnsi="Calibri"/>
        </w:rPr>
        <w:t xml:space="preserve"> </w:t>
      </w:r>
      <w:r w:rsidR="00A04187">
        <w:rPr>
          <w:rFonts w:ascii="Calibri" w:hAnsi="Calibri"/>
        </w:rPr>
        <w:t>T</w:t>
      </w:r>
      <w:r w:rsidR="008800FD" w:rsidRPr="005A7313">
        <w:rPr>
          <w:rFonts w:ascii="Calibri" w:hAnsi="Calibri"/>
        </w:rPr>
        <w:t xml:space="preserve">he report should include the reason for the variance and any corrective actions being implemented to address the underperformance or non- achievement of financial targets and </w:t>
      </w:r>
      <w:r w:rsidR="00A04187">
        <w:rPr>
          <w:rFonts w:ascii="Calibri" w:hAnsi="Calibri"/>
        </w:rPr>
        <w:t>performance measures</w:t>
      </w:r>
      <w:r w:rsidR="008800FD" w:rsidRPr="005A7313">
        <w:rPr>
          <w:rFonts w:ascii="Calibri" w:hAnsi="Calibri"/>
        </w:rPr>
        <w:t>;</w:t>
      </w:r>
      <w:r w:rsidR="001E79F7">
        <w:rPr>
          <w:rFonts w:ascii="Calibri" w:hAnsi="Calibri"/>
        </w:rPr>
        <w:t xml:space="preserve"> and</w:t>
      </w:r>
    </w:p>
    <w:p w14:paraId="292FF292" w14:textId="77777777" w:rsidR="002862CA" w:rsidRPr="005A7313" w:rsidRDefault="002862CA" w:rsidP="00B3090B">
      <w:pPr>
        <w:ind w:hanging="731"/>
        <w:rPr>
          <w:rFonts w:ascii="Calibri" w:hAnsi="Calibri"/>
        </w:rPr>
      </w:pPr>
    </w:p>
    <w:p w14:paraId="2F798D80" w14:textId="77777777" w:rsidR="008800FD" w:rsidRPr="005A7313" w:rsidRDefault="002B1819" w:rsidP="009E7845">
      <w:pPr>
        <w:numPr>
          <w:ilvl w:val="0"/>
          <w:numId w:val="11"/>
        </w:numPr>
        <w:ind w:hanging="731"/>
        <w:rPr>
          <w:rFonts w:ascii="Calibri" w:hAnsi="Calibri"/>
        </w:rPr>
      </w:pPr>
      <w:proofErr w:type="gramStart"/>
      <w:r>
        <w:rPr>
          <w:rFonts w:ascii="Calibri" w:hAnsi="Calibri"/>
        </w:rPr>
        <w:t>a</w:t>
      </w:r>
      <w:r w:rsidR="008800FD" w:rsidRPr="005A7313">
        <w:rPr>
          <w:rFonts w:ascii="Calibri" w:hAnsi="Calibri"/>
        </w:rPr>
        <w:t>ny</w:t>
      </w:r>
      <w:proofErr w:type="gramEnd"/>
      <w:r w:rsidR="008800FD" w:rsidRPr="005A7313">
        <w:rPr>
          <w:rFonts w:ascii="Calibri" w:hAnsi="Calibri"/>
        </w:rPr>
        <w:t xml:space="preserve"> expected material changes to full year financial results. </w:t>
      </w:r>
    </w:p>
    <w:p w14:paraId="653645C2" w14:textId="77777777" w:rsidR="002862CA" w:rsidRPr="002862CA" w:rsidRDefault="002862CA" w:rsidP="002862CA">
      <w:pPr>
        <w:rPr>
          <w:rFonts w:ascii="Calibri" w:hAnsi="Calibri"/>
          <w:highlight w:val="yellow"/>
        </w:rPr>
      </w:pPr>
    </w:p>
    <w:p w14:paraId="6E1F10A5" w14:textId="77777777" w:rsidR="002862CA" w:rsidRPr="002862CA" w:rsidRDefault="002862CA" w:rsidP="009E7845">
      <w:pPr>
        <w:numPr>
          <w:ilvl w:val="0"/>
          <w:numId w:val="5"/>
        </w:numPr>
        <w:rPr>
          <w:rFonts w:ascii="Calibri" w:hAnsi="Calibri"/>
        </w:rPr>
      </w:pPr>
      <w:r w:rsidRPr="002862CA">
        <w:rPr>
          <w:rFonts w:ascii="Calibri" w:hAnsi="Calibri"/>
        </w:rPr>
        <w:t xml:space="preserve">The key dates for the submission of the </w:t>
      </w:r>
      <w:r>
        <w:rPr>
          <w:rFonts w:ascii="Calibri" w:hAnsi="Calibri"/>
        </w:rPr>
        <w:t>quarterly r</w:t>
      </w:r>
      <w:r w:rsidRPr="002862CA">
        <w:rPr>
          <w:rFonts w:ascii="Calibri" w:hAnsi="Calibri"/>
        </w:rPr>
        <w:t>e</w:t>
      </w:r>
      <w:r>
        <w:rPr>
          <w:rFonts w:ascii="Calibri" w:hAnsi="Calibri"/>
        </w:rPr>
        <w:t>port</w:t>
      </w:r>
      <w:r w:rsidR="00316E97">
        <w:rPr>
          <w:rFonts w:ascii="Calibri" w:hAnsi="Calibri"/>
        </w:rPr>
        <w:t>s</w:t>
      </w:r>
      <w:r>
        <w:rPr>
          <w:rFonts w:ascii="Calibri" w:hAnsi="Calibri"/>
        </w:rPr>
        <w:t xml:space="preserve"> are</w:t>
      </w:r>
      <w:r w:rsidRPr="002862CA">
        <w:rPr>
          <w:rFonts w:ascii="Calibri" w:hAnsi="Calibri"/>
        </w:rPr>
        <w:t xml:space="preserve"> as follows</w:t>
      </w:r>
      <w:r w:rsidR="00316E97">
        <w:rPr>
          <w:rFonts w:ascii="Calibri" w:hAnsi="Calibri"/>
        </w:rPr>
        <w:t xml:space="preserve"> –</w:t>
      </w:r>
    </w:p>
    <w:p w14:paraId="38CE7CBB" w14:textId="77777777" w:rsidR="002862CA" w:rsidRDefault="002862CA" w:rsidP="002862CA">
      <w:pPr>
        <w:ind w:left="1080"/>
        <w:rPr>
          <w:rFonts w:ascii="Calibri" w:hAnsi="Calibr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503"/>
        <w:gridCol w:w="3827"/>
      </w:tblGrid>
      <w:tr w:rsidR="002862CA" w:rsidRPr="003B70CD" w14:paraId="1845C208" w14:textId="77777777" w:rsidTr="005A7313">
        <w:trPr>
          <w:tblHeader/>
        </w:trPr>
        <w:tc>
          <w:tcPr>
            <w:tcW w:w="4503" w:type="dxa"/>
            <w:tcBorders>
              <w:right w:val="nil"/>
            </w:tcBorders>
            <w:shd w:val="clear" w:color="auto" w:fill="D9D9D9"/>
          </w:tcPr>
          <w:p w14:paraId="6493F643" w14:textId="77777777" w:rsidR="002862CA" w:rsidRPr="00E13296" w:rsidRDefault="002862CA" w:rsidP="002862CA">
            <w:pPr>
              <w:spacing w:before="60" w:after="60"/>
              <w:rPr>
                <w:rFonts w:ascii="Calibri" w:hAnsi="Calibri" w:cs="Calibri"/>
                <w:b/>
              </w:rPr>
            </w:pPr>
            <w:r>
              <w:rPr>
                <w:rFonts w:ascii="Calibri" w:hAnsi="Calibri" w:cs="Calibri"/>
                <w:b/>
              </w:rPr>
              <w:t>Requirement</w:t>
            </w:r>
          </w:p>
        </w:tc>
        <w:tc>
          <w:tcPr>
            <w:tcW w:w="3827" w:type="dxa"/>
            <w:tcBorders>
              <w:left w:val="nil"/>
            </w:tcBorders>
            <w:shd w:val="clear" w:color="auto" w:fill="D9D9D9"/>
          </w:tcPr>
          <w:p w14:paraId="1B5B4A80" w14:textId="77777777" w:rsidR="002862CA" w:rsidRPr="00E13296" w:rsidRDefault="002862CA" w:rsidP="002862CA">
            <w:pPr>
              <w:spacing w:before="60" w:after="60"/>
              <w:rPr>
                <w:rFonts w:ascii="Calibri" w:hAnsi="Calibri" w:cs="Calibri"/>
                <w:b/>
              </w:rPr>
            </w:pPr>
            <w:r>
              <w:rPr>
                <w:rFonts w:ascii="Calibri" w:hAnsi="Calibri" w:cs="Calibri"/>
                <w:b/>
              </w:rPr>
              <w:t>Due date</w:t>
            </w:r>
          </w:p>
        </w:tc>
      </w:tr>
      <w:tr w:rsidR="002862CA" w:rsidRPr="003B70CD" w14:paraId="39F33A36" w14:textId="77777777" w:rsidTr="005A7313">
        <w:tc>
          <w:tcPr>
            <w:tcW w:w="4503" w:type="dxa"/>
            <w:tcBorders>
              <w:right w:val="nil"/>
            </w:tcBorders>
          </w:tcPr>
          <w:p w14:paraId="473162DB" w14:textId="77777777" w:rsidR="002862CA" w:rsidRPr="00E13296" w:rsidRDefault="00BD7E5D" w:rsidP="002862CA">
            <w:pPr>
              <w:spacing w:before="60" w:after="60"/>
              <w:rPr>
                <w:rFonts w:ascii="Calibri" w:hAnsi="Calibri" w:cs="Calibri"/>
              </w:rPr>
            </w:pPr>
            <w:r>
              <w:rPr>
                <w:rFonts w:ascii="Calibri" w:hAnsi="Calibri" w:cs="Calibri"/>
              </w:rPr>
              <w:t>March quarterly report</w:t>
            </w:r>
          </w:p>
        </w:tc>
        <w:tc>
          <w:tcPr>
            <w:tcW w:w="3827" w:type="dxa"/>
            <w:tcBorders>
              <w:left w:val="nil"/>
            </w:tcBorders>
          </w:tcPr>
          <w:p w14:paraId="4CAA3D01" w14:textId="77777777" w:rsidR="002862CA" w:rsidRPr="00E13296" w:rsidRDefault="00A654A8" w:rsidP="002862CA">
            <w:pPr>
              <w:spacing w:before="60" w:after="60"/>
              <w:rPr>
                <w:rFonts w:ascii="Calibri" w:hAnsi="Calibri" w:cs="Calibri"/>
              </w:rPr>
            </w:pPr>
            <w:r>
              <w:rPr>
                <w:rFonts w:ascii="Calibri" w:hAnsi="Calibri" w:cs="Calibri"/>
              </w:rPr>
              <w:t>15</w:t>
            </w:r>
            <w:r w:rsidRPr="00A654A8">
              <w:rPr>
                <w:rFonts w:ascii="Calibri" w:hAnsi="Calibri" w:cs="Calibri"/>
                <w:vertAlign w:val="superscript"/>
              </w:rPr>
              <w:t>th</w:t>
            </w:r>
            <w:r w:rsidR="0094678E">
              <w:rPr>
                <w:rFonts w:ascii="Calibri" w:hAnsi="Calibri" w:cs="Calibri"/>
              </w:rPr>
              <w:t xml:space="preserve"> </w:t>
            </w:r>
            <w:r>
              <w:rPr>
                <w:rFonts w:ascii="Calibri" w:hAnsi="Calibri" w:cs="Calibri"/>
              </w:rPr>
              <w:t>working day after 31 March</w:t>
            </w:r>
          </w:p>
        </w:tc>
      </w:tr>
      <w:tr w:rsidR="002862CA" w:rsidRPr="003B70CD" w14:paraId="42A4C7A5" w14:textId="77777777" w:rsidTr="005A7313">
        <w:tc>
          <w:tcPr>
            <w:tcW w:w="4503" w:type="dxa"/>
            <w:tcBorders>
              <w:right w:val="nil"/>
            </w:tcBorders>
          </w:tcPr>
          <w:p w14:paraId="430D0435" w14:textId="77777777" w:rsidR="002862CA" w:rsidRDefault="00BD7E5D" w:rsidP="002862CA">
            <w:pPr>
              <w:spacing w:before="60" w:after="60"/>
              <w:rPr>
                <w:rFonts w:ascii="Calibri" w:hAnsi="Calibri" w:cs="Calibri"/>
              </w:rPr>
            </w:pPr>
            <w:r>
              <w:rPr>
                <w:rFonts w:ascii="Calibri" w:hAnsi="Calibri" w:cs="Calibri"/>
              </w:rPr>
              <w:t>June quarterly report</w:t>
            </w:r>
          </w:p>
        </w:tc>
        <w:tc>
          <w:tcPr>
            <w:tcW w:w="3827" w:type="dxa"/>
            <w:tcBorders>
              <w:left w:val="nil"/>
            </w:tcBorders>
          </w:tcPr>
          <w:p w14:paraId="65672FE1" w14:textId="77777777" w:rsidR="002862CA" w:rsidRDefault="00A654A8" w:rsidP="002862CA">
            <w:pPr>
              <w:spacing w:before="60" w:after="60"/>
              <w:rPr>
                <w:rFonts w:ascii="Calibri" w:hAnsi="Calibri" w:cs="Calibri"/>
              </w:rPr>
            </w:pPr>
            <w:r>
              <w:rPr>
                <w:rFonts w:ascii="Calibri" w:hAnsi="Calibri" w:cs="Calibri"/>
              </w:rPr>
              <w:t>15</w:t>
            </w:r>
            <w:r w:rsidRPr="00A654A8">
              <w:rPr>
                <w:rFonts w:ascii="Calibri" w:hAnsi="Calibri" w:cs="Calibri"/>
                <w:vertAlign w:val="superscript"/>
              </w:rPr>
              <w:t>th</w:t>
            </w:r>
            <w:r>
              <w:rPr>
                <w:rFonts w:ascii="Calibri" w:hAnsi="Calibri" w:cs="Calibri"/>
              </w:rPr>
              <w:t xml:space="preserve"> working</w:t>
            </w:r>
            <w:r w:rsidR="00654C07">
              <w:rPr>
                <w:rFonts w:ascii="Calibri" w:hAnsi="Calibri" w:cs="Calibri"/>
              </w:rPr>
              <w:t xml:space="preserve"> day</w:t>
            </w:r>
            <w:r>
              <w:rPr>
                <w:rFonts w:ascii="Calibri" w:hAnsi="Calibri" w:cs="Calibri"/>
              </w:rPr>
              <w:t xml:space="preserve"> after 30 June</w:t>
            </w:r>
          </w:p>
        </w:tc>
      </w:tr>
      <w:tr w:rsidR="002862CA" w:rsidRPr="003B70CD" w14:paraId="6176B162" w14:textId="77777777" w:rsidTr="005A7313">
        <w:tc>
          <w:tcPr>
            <w:tcW w:w="4503" w:type="dxa"/>
            <w:tcBorders>
              <w:right w:val="nil"/>
            </w:tcBorders>
          </w:tcPr>
          <w:p w14:paraId="468BD6EA" w14:textId="77777777" w:rsidR="002862CA" w:rsidRPr="00E13296" w:rsidRDefault="00BD7E5D" w:rsidP="002862CA">
            <w:pPr>
              <w:spacing w:before="60" w:after="60"/>
              <w:rPr>
                <w:rFonts w:ascii="Calibri" w:hAnsi="Calibri" w:cs="Calibri"/>
              </w:rPr>
            </w:pPr>
            <w:r>
              <w:rPr>
                <w:rFonts w:ascii="Calibri" w:hAnsi="Calibri" w:cs="Calibri"/>
              </w:rPr>
              <w:t>September quarterly report</w:t>
            </w:r>
          </w:p>
        </w:tc>
        <w:tc>
          <w:tcPr>
            <w:tcW w:w="3827" w:type="dxa"/>
            <w:tcBorders>
              <w:left w:val="nil"/>
            </w:tcBorders>
          </w:tcPr>
          <w:p w14:paraId="7DC09DE7" w14:textId="77777777" w:rsidR="002862CA" w:rsidRPr="00E13296" w:rsidRDefault="00A654A8" w:rsidP="002862CA">
            <w:pPr>
              <w:spacing w:before="60" w:after="60"/>
              <w:rPr>
                <w:rFonts w:ascii="Calibri" w:hAnsi="Calibri" w:cs="Calibri"/>
              </w:rPr>
            </w:pPr>
            <w:r>
              <w:rPr>
                <w:rFonts w:ascii="Calibri" w:hAnsi="Calibri" w:cs="Calibri"/>
              </w:rPr>
              <w:t>15</w:t>
            </w:r>
            <w:r w:rsidRPr="00A654A8">
              <w:rPr>
                <w:rFonts w:ascii="Calibri" w:hAnsi="Calibri" w:cs="Calibri"/>
                <w:vertAlign w:val="superscript"/>
              </w:rPr>
              <w:t>th</w:t>
            </w:r>
            <w:r>
              <w:rPr>
                <w:rFonts w:ascii="Calibri" w:hAnsi="Calibri" w:cs="Calibri"/>
              </w:rPr>
              <w:t xml:space="preserve"> working day after 30 September</w:t>
            </w:r>
          </w:p>
        </w:tc>
      </w:tr>
      <w:tr w:rsidR="00BD7E5D" w:rsidRPr="003B70CD" w14:paraId="6672A2FC" w14:textId="77777777" w:rsidTr="005A7313">
        <w:tc>
          <w:tcPr>
            <w:tcW w:w="4503" w:type="dxa"/>
            <w:tcBorders>
              <w:right w:val="nil"/>
            </w:tcBorders>
          </w:tcPr>
          <w:p w14:paraId="217FF038" w14:textId="77777777" w:rsidR="00BD7E5D" w:rsidRDefault="00BD7E5D" w:rsidP="002862CA">
            <w:pPr>
              <w:spacing w:before="60" w:after="60"/>
              <w:rPr>
                <w:rFonts w:ascii="Calibri" w:hAnsi="Calibri" w:cs="Calibri"/>
              </w:rPr>
            </w:pPr>
            <w:r>
              <w:rPr>
                <w:rFonts w:ascii="Calibri" w:hAnsi="Calibri" w:cs="Calibri"/>
              </w:rPr>
              <w:t>December quarterly report</w:t>
            </w:r>
          </w:p>
        </w:tc>
        <w:tc>
          <w:tcPr>
            <w:tcW w:w="3827" w:type="dxa"/>
            <w:tcBorders>
              <w:left w:val="nil"/>
            </w:tcBorders>
          </w:tcPr>
          <w:p w14:paraId="442F523C" w14:textId="77777777" w:rsidR="00BD7E5D" w:rsidRPr="00E13296" w:rsidRDefault="005A7313" w:rsidP="00654C07">
            <w:pPr>
              <w:spacing w:before="60" w:after="60"/>
              <w:rPr>
                <w:rFonts w:ascii="Calibri" w:hAnsi="Calibri" w:cs="Calibri"/>
              </w:rPr>
            </w:pPr>
            <w:r>
              <w:rPr>
                <w:rFonts w:ascii="Calibri" w:hAnsi="Calibri" w:cs="Calibri"/>
              </w:rPr>
              <w:t>20</w:t>
            </w:r>
            <w:r w:rsidR="00654C07" w:rsidRPr="00654C07">
              <w:rPr>
                <w:rFonts w:ascii="Calibri" w:hAnsi="Calibri" w:cs="Calibri"/>
                <w:vertAlign w:val="superscript"/>
              </w:rPr>
              <w:t>th</w:t>
            </w:r>
            <w:r w:rsidR="00654C07">
              <w:rPr>
                <w:rFonts w:ascii="Calibri" w:hAnsi="Calibri" w:cs="Calibri"/>
              </w:rPr>
              <w:t xml:space="preserve"> </w:t>
            </w:r>
            <w:r>
              <w:rPr>
                <w:rFonts w:ascii="Calibri" w:hAnsi="Calibri" w:cs="Calibri"/>
              </w:rPr>
              <w:t>working day after 31 December (unaudited)</w:t>
            </w:r>
          </w:p>
        </w:tc>
      </w:tr>
    </w:tbl>
    <w:p w14:paraId="56E3798F" w14:textId="77777777" w:rsidR="005A4E46" w:rsidRPr="008A2346" w:rsidRDefault="005A4E46" w:rsidP="002219F0">
      <w:pPr>
        <w:ind w:left="720"/>
        <w:rPr>
          <w:rFonts w:ascii="Calibri" w:hAnsi="Calibri"/>
        </w:rPr>
      </w:pPr>
    </w:p>
    <w:p w14:paraId="6FBB3EE2" w14:textId="3F199ED9" w:rsidR="00EE1353" w:rsidRPr="008A2346" w:rsidRDefault="000A39DB" w:rsidP="00EE1353">
      <w:pPr>
        <w:pStyle w:val="Heading3"/>
        <w:rPr>
          <w:rFonts w:ascii="Calibri" w:hAnsi="Calibri"/>
        </w:rPr>
      </w:pPr>
      <w:bookmarkStart w:id="39" w:name="_Toc340830056"/>
      <w:bookmarkStart w:id="40" w:name="_Toc343609458"/>
      <w:r>
        <w:rPr>
          <w:rFonts w:ascii="Calibri" w:hAnsi="Calibri"/>
        </w:rPr>
        <w:br w:type="page"/>
      </w:r>
      <w:bookmarkStart w:id="41" w:name="_Toc353436448"/>
      <w:r w:rsidR="00EE1353" w:rsidRPr="008A2346">
        <w:rPr>
          <w:rFonts w:ascii="Calibri" w:hAnsi="Calibri"/>
        </w:rPr>
        <w:lastRenderedPageBreak/>
        <w:t xml:space="preserve">Guideline </w:t>
      </w:r>
      <w:r w:rsidR="00463E85">
        <w:rPr>
          <w:rFonts w:ascii="Calibri" w:hAnsi="Calibri"/>
        </w:rPr>
        <w:t>6</w:t>
      </w:r>
      <w:r w:rsidR="00EE1353" w:rsidRPr="008A2346">
        <w:rPr>
          <w:rFonts w:ascii="Calibri" w:hAnsi="Calibri"/>
        </w:rPr>
        <w:t xml:space="preserve"> – </w:t>
      </w:r>
      <w:r w:rsidR="00C91C51">
        <w:rPr>
          <w:rFonts w:ascii="Calibri" w:hAnsi="Calibri"/>
        </w:rPr>
        <w:t>Annual Report</w:t>
      </w:r>
      <w:bookmarkEnd w:id="39"/>
      <w:bookmarkEnd w:id="40"/>
      <w:bookmarkEnd w:id="41"/>
    </w:p>
    <w:p w14:paraId="7D685F6E" w14:textId="77777777" w:rsidR="00F823F7" w:rsidRDefault="00F823F7" w:rsidP="009E7845">
      <w:pPr>
        <w:numPr>
          <w:ilvl w:val="0"/>
          <w:numId w:val="5"/>
        </w:numPr>
        <w:rPr>
          <w:rFonts w:ascii="Calibri" w:hAnsi="Calibri"/>
        </w:rPr>
      </w:pPr>
      <w:r>
        <w:rPr>
          <w:rFonts w:ascii="Calibri" w:hAnsi="Calibri"/>
        </w:rPr>
        <w:t xml:space="preserve">The </w:t>
      </w:r>
      <w:r w:rsidR="00C91C51">
        <w:rPr>
          <w:rFonts w:ascii="Calibri" w:hAnsi="Calibri"/>
        </w:rPr>
        <w:t xml:space="preserve">Board must prepare an Annual Report in accordance with the </w:t>
      </w:r>
      <w:r w:rsidR="00C91C51" w:rsidRPr="006234A2">
        <w:rPr>
          <w:rFonts w:ascii="Calibri" w:hAnsi="Calibri"/>
          <w:b/>
        </w:rPr>
        <w:t xml:space="preserve">Financial Management Act 1994 </w:t>
      </w:r>
      <w:r w:rsidR="00C91C51" w:rsidRPr="00C91C51">
        <w:rPr>
          <w:rFonts w:ascii="Calibri" w:hAnsi="Calibri"/>
        </w:rPr>
        <w:t xml:space="preserve">and </w:t>
      </w:r>
      <w:r w:rsidR="00666D3B">
        <w:rPr>
          <w:rFonts w:ascii="Calibri" w:hAnsi="Calibri"/>
        </w:rPr>
        <w:t xml:space="preserve">Part 4 of </w:t>
      </w:r>
      <w:r w:rsidR="00C91C51" w:rsidRPr="00C91C51">
        <w:rPr>
          <w:rFonts w:ascii="Calibri" w:hAnsi="Calibri"/>
        </w:rPr>
        <w:t>the</w:t>
      </w:r>
      <w:r w:rsidR="00C91C51">
        <w:rPr>
          <w:rFonts w:ascii="Calibri" w:hAnsi="Calibri"/>
          <w:i/>
        </w:rPr>
        <w:t xml:space="preserve"> </w:t>
      </w:r>
      <w:r w:rsidR="00D72A12" w:rsidRPr="00D72A12">
        <w:rPr>
          <w:rFonts w:ascii="Calibri" w:hAnsi="Calibri"/>
        </w:rPr>
        <w:t xml:space="preserve">Standing Directions of the Minister for Finance under the </w:t>
      </w:r>
      <w:r w:rsidR="00D72A12" w:rsidRPr="006234A2">
        <w:rPr>
          <w:rFonts w:ascii="Calibri" w:hAnsi="Calibri"/>
          <w:b/>
        </w:rPr>
        <w:t>Financial Management Act 1994</w:t>
      </w:r>
      <w:r w:rsidR="00D72A12">
        <w:rPr>
          <w:rFonts w:ascii="Calibri" w:hAnsi="Calibri"/>
          <w:i/>
        </w:rPr>
        <w:t>.</w:t>
      </w:r>
    </w:p>
    <w:p w14:paraId="2821FE91" w14:textId="77777777" w:rsidR="00E3601A" w:rsidRDefault="00E3601A" w:rsidP="00E3601A">
      <w:pPr>
        <w:ind w:left="720"/>
        <w:rPr>
          <w:rFonts w:ascii="Calibri" w:hAnsi="Calibri"/>
        </w:rPr>
      </w:pPr>
    </w:p>
    <w:p w14:paraId="3B2FC10A" w14:textId="77777777" w:rsidR="002219F0" w:rsidRPr="002862CA" w:rsidRDefault="002219F0" w:rsidP="009E7845">
      <w:pPr>
        <w:numPr>
          <w:ilvl w:val="0"/>
          <w:numId w:val="5"/>
        </w:numPr>
        <w:rPr>
          <w:rFonts w:ascii="Calibri" w:hAnsi="Calibri"/>
        </w:rPr>
      </w:pPr>
      <w:r w:rsidRPr="002862CA">
        <w:rPr>
          <w:rFonts w:ascii="Calibri" w:hAnsi="Calibri"/>
        </w:rPr>
        <w:t xml:space="preserve">The key dates for the submission of the </w:t>
      </w:r>
      <w:r w:rsidR="005702B7">
        <w:rPr>
          <w:rFonts w:ascii="Calibri" w:hAnsi="Calibri"/>
        </w:rPr>
        <w:t>A</w:t>
      </w:r>
      <w:r>
        <w:rPr>
          <w:rFonts w:ascii="Calibri" w:hAnsi="Calibri"/>
        </w:rPr>
        <w:t xml:space="preserve">nnual </w:t>
      </w:r>
      <w:r w:rsidR="005702B7">
        <w:rPr>
          <w:rFonts w:ascii="Calibri" w:hAnsi="Calibri"/>
        </w:rPr>
        <w:t>R</w:t>
      </w:r>
      <w:r>
        <w:rPr>
          <w:rFonts w:ascii="Calibri" w:hAnsi="Calibri"/>
        </w:rPr>
        <w:t>eport are</w:t>
      </w:r>
      <w:r w:rsidRPr="002862CA">
        <w:rPr>
          <w:rFonts w:ascii="Calibri" w:hAnsi="Calibri"/>
        </w:rPr>
        <w:t xml:space="preserve"> as follows</w:t>
      </w:r>
      <w:r w:rsidR="00316E97">
        <w:rPr>
          <w:rFonts w:ascii="Calibri" w:hAnsi="Calibri"/>
        </w:rPr>
        <w:t xml:space="preserve"> –</w:t>
      </w:r>
    </w:p>
    <w:p w14:paraId="320D7799" w14:textId="77777777" w:rsidR="002219F0" w:rsidRDefault="002219F0" w:rsidP="002219F0">
      <w:pPr>
        <w:ind w:left="1080"/>
        <w:rPr>
          <w:rFonts w:ascii="Calibri" w:hAnsi="Calibr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928"/>
        <w:gridCol w:w="3544"/>
      </w:tblGrid>
      <w:tr w:rsidR="002219F0" w:rsidRPr="003B70CD" w14:paraId="5832C701" w14:textId="77777777" w:rsidTr="006F5880">
        <w:trPr>
          <w:tblHeader/>
        </w:trPr>
        <w:tc>
          <w:tcPr>
            <w:tcW w:w="4928" w:type="dxa"/>
            <w:tcBorders>
              <w:bottom w:val="single" w:sz="4" w:space="0" w:color="auto"/>
              <w:right w:val="nil"/>
            </w:tcBorders>
            <w:shd w:val="clear" w:color="auto" w:fill="D9D9D9"/>
          </w:tcPr>
          <w:p w14:paraId="49B1EFB0" w14:textId="77777777" w:rsidR="002219F0" w:rsidRPr="00E13296" w:rsidRDefault="002219F0" w:rsidP="001F2F8F">
            <w:pPr>
              <w:spacing w:before="60" w:after="60"/>
              <w:rPr>
                <w:rFonts w:ascii="Calibri" w:hAnsi="Calibri" w:cs="Calibri"/>
                <w:b/>
              </w:rPr>
            </w:pPr>
            <w:r>
              <w:rPr>
                <w:rFonts w:ascii="Calibri" w:hAnsi="Calibri" w:cs="Calibri"/>
                <w:b/>
              </w:rPr>
              <w:t>Requirement</w:t>
            </w:r>
          </w:p>
        </w:tc>
        <w:tc>
          <w:tcPr>
            <w:tcW w:w="3544" w:type="dxa"/>
            <w:tcBorders>
              <w:left w:val="nil"/>
              <w:bottom w:val="single" w:sz="4" w:space="0" w:color="auto"/>
            </w:tcBorders>
            <w:shd w:val="clear" w:color="auto" w:fill="D9D9D9"/>
          </w:tcPr>
          <w:p w14:paraId="4A451B3D" w14:textId="77777777" w:rsidR="002219F0" w:rsidRPr="00E13296" w:rsidRDefault="002219F0" w:rsidP="001F2F8F">
            <w:pPr>
              <w:spacing w:before="60" w:after="60"/>
              <w:rPr>
                <w:rFonts w:ascii="Calibri" w:hAnsi="Calibri" w:cs="Calibri"/>
                <w:b/>
              </w:rPr>
            </w:pPr>
            <w:r>
              <w:rPr>
                <w:rFonts w:ascii="Calibri" w:hAnsi="Calibri" w:cs="Calibri"/>
                <w:b/>
              </w:rPr>
              <w:t>Due date</w:t>
            </w:r>
          </w:p>
        </w:tc>
      </w:tr>
      <w:tr w:rsidR="002219F0" w:rsidRPr="003B70CD" w14:paraId="2E7A2C61" w14:textId="77777777" w:rsidTr="006F5880">
        <w:tc>
          <w:tcPr>
            <w:tcW w:w="4928" w:type="dxa"/>
            <w:tcBorders>
              <w:bottom w:val="single" w:sz="4" w:space="0" w:color="auto"/>
              <w:right w:val="nil"/>
            </w:tcBorders>
          </w:tcPr>
          <w:p w14:paraId="2F095505" w14:textId="77777777" w:rsidR="002219F0" w:rsidRDefault="00CC71D5" w:rsidP="005702B7">
            <w:pPr>
              <w:spacing w:before="60" w:after="60"/>
              <w:rPr>
                <w:rFonts w:ascii="Calibri" w:hAnsi="Calibri" w:cs="Calibri"/>
              </w:rPr>
            </w:pPr>
            <w:r>
              <w:rPr>
                <w:rFonts w:ascii="Calibri" w:hAnsi="Calibri" w:cs="Calibri"/>
              </w:rPr>
              <w:t xml:space="preserve">Draft </w:t>
            </w:r>
            <w:r w:rsidR="00D30D20">
              <w:rPr>
                <w:rFonts w:ascii="Calibri" w:hAnsi="Calibri" w:cs="Calibri"/>
              </w:rPr>
              <w:t>A</w:t>
            </w:r>
            <w:r w:rsidR="001F2F8F">
              <w:rPr>
                <w:rFonts w:ascii="Calibri" w:hAnsi="Calibri" w:cs="Calibri"/>
              </w:rPr>
              <w:t xml:space="preserve">nnual </w:t>
            </w:r>
            <w:r w:rsidR="005702B7">
              <w:rPr>
                <w:rFonts w:ascii="Calibri" w:hAnsi="Calibri" w:cs="Calibri"/>
              </w:rPr>
              <w:t>R</w:t>
            </w:r>
            <w:r w:rsidR="001F2F8F">
              <w:rPr>
                <w:rFonts w:ascii="Calibri" w:hAnsi="Calibri" w:cs="Calibri"/>
              </w:rPr>
              <w:t>eport submitted</w:t>
            </w:r>
          </w:p>
        </w:tc>
        <w:tc>
          <w:tcPr>
            <w:tcW w:w="3544" w:type="dxa"/>
            <w:tcBorders>
              <w:left w:val="nil"/>
              <w:bottom w:val="single" w:sz="4" w:space="0" w:color="auto"/>
            </w:tcBorders>
          </w:tcPr>
          <w:p w14:paraId="140F6AA0" w14:textId="77777777" w:rsidR="002219F0" w:rsidRDefault="001F2F8F" w:rsidP="00D30D20">
            <w:pPr>
              <w:spacing w:before="60" w:after="60"/>
              <w:rPr>
                <w:rFonts w:ascii="Calibri" w:hAnsi="Calibri" w:cs="Calibri"/>
              </w:rPr>
            </w:pPr>
            <w:r>
              <w:rPr>
                <w:rFonts w:ascii="Calibri" w:hAnsi="Calibri" w:cs="Calibri"/>
              </w:rPr>
              <w:t xml:space="preserve">Last business day in </w:t>
            </w:r>
            <w:r w:rsidR="00D30D20">
              <w:rPr>
                <w:rFonts w:ascii="Calibri" w:hAnsi="Calibri" w:cs="Calibri"/>
              </w:rPr>
              <w:t>February</w:t>
            </w:r>
          </w:p>
        </w:tc>
      </w:tr>
      <w:tr w:rsidR="00CC71D5" w:rsidRPr="003B70CD" w14:paraId="19DD00E4" w14:textId="77777777" w:rsidTr="00A379ED">
        <w:tc>
          <w:tcPr>
            <w:tcW w:w="4928" w:type="dxa"/>
            <w:tcBorders>
              <w:top w:val="single" w:sz="4" w:space="0" w:color="auto"/>
              <w:right w:val="nil"/>
            </w:tcBorders>
          </w:tcPr>
          <w:p w14:paraId="20055E2E" w14:textId="77777777" w:rsidR="00CC71D5" w:rsidRDefault="00CC71D5" w:rsidP="005702B7">
            <w:pPr>
              <w:spacing w:before="60" w:after="60"/>
              <w:rPr>
                <w:rFonts w:ascii="Calibri" w:hAnsi="Calibri" w:cs="Calibri"/>
              </w:rPr>
            </w:pPr>
            <w:r>
              <w:rPr>
                <w:rFonts w:ascii="Calibri" w:hAnsi="Calibri" w:cs="Calibri"/>
              </w:rPr>
              <w:t>Final Annual Report submitted</w:t>
            </w:r>
          </w:p>
        </w:tc>
        <w:tc>
          <w:tcPr>
            <w:tcW w:w="3544" w:type="dxa"/>
            <w:tcBorders>
              <w:top w:val="single" w:sz="4" w:space="0" w:color="auto"/>
              <w:left w:val="nil"/>
            </w:tcBorders>
          </w:tcPr>
          <w:p w14:paraId="08FAD57E" w14:textId="77777777" w:rsidR="00CC71D5" w:rsidRDefault="00CC71D5" w:rsidP="00D30D20">
            <w:pPr>
              <w:spacing w:before="60" w:after="60"/>
              <w:rPr>
                <w:rFonts w:ascii="Calibri" w:hAnsi="Calibri" w:cs="Calibri"/>
              </w:rPr>
            </w:pPr>
            <w:r>
              <w:rPr>
                <w:rFonts w:ascii="Calibri" w:hAnsi="Calibri" w:cs="Calibri"/>
              </w:rPr>
              <w:t>Last business day in March</w:t>
            </w:r>
          </w:p>
        </w:tc>
      </w:tr>
    </w:tbl>
    <w:p w14:paraId="4E77F48F" w14:textId="77777777" w:rsidR="00EE1353" w:rsidRDefault="00EE1353" w:rsidP="00EE1353">
      <w:pPr>
        <w:rPr>
          <w:rFonts w:ascii="Calibri" w:hAnsi="Calibri"/>
        </w:rPr>
      </w:pPr>
    </w:p>
    <w:p w14:paraId="6AEDE198" w14:textId="0CB213A9" w:rsidR="00A52F89" w:rsidRPr="008A2346" w:rsidRDefault="000A39DB" w:rsidP="00A52F89">
      <w:pPr>
        <w:pStyle w:val="Heading3"/>
        <w:rPr>
          <w:rFonts w:ascii="Calibri" w:hAnsi="Calibri"/>
        </w:rPr>
      </w:pPr>
      <w:bookmarkStart w:id="42" w:name="_Toc340830057"/>
      <w:bookmarkStart w:id="43" w:name="_Toc343609459"/>
      <w:r>
        <w:rPr>
          <w:rFonts w:ascii="Calibri" w:hAnsi="Calibri"/>
        </w:rPr>
        <w:br w:type="page"/>
      </w:r>
      <w:bookmarkStart w:id="44" w:name="_Toc353436449"/>
      <w:r w:rsidR="00A52F89" w:rsidRPr="008A2346">
        <w:rPr>
          <w:rFonts w:ascii="Calibri" w:hAnsi="Calibri"/>
        </w:rPr>
        <w:lastRenderedPageBreak/>
        <w:t xml:space="preserve">Guideline </w:t>
      </w:r>
      <w:r w:rsidR="00463E85">
        <w:rPr>
          <w:rFonts w:ascii="Calibri" w:hAnsi="Calibri"/>
        </w:rPr>
        <w:t>7</w:t>
      </w:r>
      <w:r w:rsidR="00A52F89" w:rsidRPr="008A2346">
        <w:rPr>
          <w:rFonts w:ascii="Calibri" w:hAnsi="Calibri"/>
        </w:rPr>
        <w:t xml:space="preserve"> – </w:t>
      </w:r>
      <w:r w:rsidR="00A52F89">
        <w:rPr>
          <w:rFonts w:ascii="Calibri" w:hAnsi="Calibri"/>
        </w:rPr>
        <w:t xml:space="preserve">Monitoring by the </w:t>
      </w:r>
      <w:r w:rsidR="00D06586">
        <w:rPr>
          <w:rFonts w:ascii="Calibri" w:hAnsi="Calibri"/>
        </w:rPr>
        <w:t>Minister and Department</w:t>
      </w:r>
      <w:bookmarkEnd w:id="42"/>
      <w:bookmarkEnd w:id="43"/>
      <w:bookmarkEnd w:id="44"/>
    </w:p>
    <w:p w14:paraId="42F487A5" w14:textId="3AFC4733" w:rsidR="00D06586" w:rsidRDefault="00D06586" w:rsidP="009E7845">
      <w:pPr>
        <w:numPr>
          <w:ilvl w:val="0"/>
          <w:numId w:val="5"/>
        </w:numPr>
        <w:rPr>
          <w:rFonts w:ascii="Calibri" w:hAnsi="Calibri"/>
        </w:rPr>
      </w:pPr>
      <w:r w:rsidRPr="00D06586">
        <w:rPr>
          <w:rFonts w:ascii="Calibri" w:hAnsi="Calibri"/>
        </w:rPr>
        <w:t>The Department will maintain a</w:t>
      </w:r>
      <w:r w:rsidR="00B95DB3">
        <w:rPr>
          <w:rFonts w:ascii="Calibri" w:hAnsi="Calibri"/>
        </w:rPr>
        <w:t xml:space="preserve">n ongoing oversight role </w:t>
      </w:r>
      <w:r w:rsidR="00CA2386">
        <w:rPr>
          <w:rFonts w:ascii="Calibri" w:hAnsi="Calibri"/>
        </w:rPr>
        <w:t xml:space="preserve">so that it may advise the </w:t>
      </w:r>
      <w:r w:rsidR="00B95DB3">
        <w:rPr>
          <w:rFonts w:ascii="Calibri" w:hAnsi="Calibri"/>
        </w:rPr>
        <w:t xml:space="preserve">Minister </w:t>
      </w:r>
      <w:r w:rsidR="00CA2386">
        <w:rPr>
          <w:rFonts w:ascii="Calibri" w:hAnsi="Calibri"/>
        </w:rPr>
        <w:t xml:space="preserve">in relation to whether </w:t>
      </w:r>
      <w:r w:rsidR="000A39DB">
        <w:rPr>
          <w:rFonts w:ascii="Calibri" w:hAnsi="Calibri"/>
        </w:rPr>
        <w:t>a</w:t>
      </w:r>
      <w:r w:rsidR="00B95DB3">
        <w:rPr>
          <w:rFonts w:ascii="Calibri" w:hAnsi="Calibri"/>
        </w:rPr>
        <w:t xml:space="preserve"> </w:t>
      </w:r>
      <w:r w:rsidRPr="00D06586">
        <w:rPr>
          <w:rFonts w:ascii="Calibri" w:hAnsi="Calibri"/>
        </w:rPr>
        <w:t xml:space="preserve">TAFE institute is being governed </w:t>
      </w:r>
      <w:r w:rsidR="00A50915">
        <w:rPr>
          <w:rFonts w:ascii="Calibri" w:hAnsi="Calibri"/>
        </w:rPr>
        <w:t xml:space="preserve">appropriately </w:t>
      </w:r>
      <w:r w:rsidRPr="00D06586">
        <w:rPr>
          <w:rFonts w:ascii="Calibri" w:hAnsi="Calibri"/>
        </w:rPr>
        <w:t>to ensure its short term and long term financial and non–financial objectives are being met.</w:t>
      </w:r>
    </w:p>
    <w:p w14:paraId="3A048F7F" w14:textId="77777777" w:rsidR="00D30D20" w:rsidRDefault="00D30D20" w:rsidP="00D30D20">
      <w:pPr>
        <w:ind w:left="720"/>
        <w:rPr>
          <w:rFonts w:ascii="Calibri" w:hAnsi="Calibri"/>
        </w:rPr>
      </w:pPr>
    </w:p>
    <w:p w14:paraId="5C01CAB6" w14:textId="6CBF0F90" w:rsidR="00CA25B2" w:rsidRDefault="00CA2386" w:rsidP="009E7845">
      <w:pPr>
        <w:numPr>
          <w:ilvl w:val="0"/>
          <w:numId w:val="5"/>
        </w:numPr>
        <w:rPr>
          <w:rFonts w:ascii="Calibri" w:hAnsi="Calibri"/>
        </w:rPr>
      </w:pPr>
      <w:r>
        <w:rPr>
          <w:rFonts w:ascii="Calibri" w:hAnsi="Calibri"/>
        </w:rPr>
        <w:t xml:space="preserve">In determining whether </w:t>
      </w:r>
      <w:r w:rsidR="00B12FBE">
        <w:rPr>
          <w:rFonts w:ascii="Calibri" w:hAnsi="Calibri"/>
        </w:rPr>
        <w:t xml:space="preserve">a </w:t>
      </w:r>
      <w:r>
        <w:rPr>
          <w:rFonts w:ascii="Calibri" w:hAnsi="Calibri"/>
        </w:rPr>
        <w:t xml:space="preserve">TAFE institute is being governed </w:t>
      </w:r>
      <w:r w:rsidR="00A50915">
        <w:rPr>
          <w:rFonts w:ascii="Calibri" w:hAnsi="Calibri"/>
        </w:rPr>
        <w:t xml:space="preserve">appropriately </w:t>
      </w:r>
      <w:r>
        <w:rPr>
          <w:rFonts w:ascii="Calibri" w:hAnsi="Calibri"/>
        </w:rPr>
        <w:t>to ensure that its short term and long term financial and non-financial objectives are being met, t</w:t>
      </w:r>
      <w:r w:rsidR="00CA25B2" w:rsidRPr="00CA25B2">
        <w:rPr>
          <w:rFonts w:ascii="Calibri" w:hAnsi="Calibri"/>
        </w:rPr>
        <w:t xml:space="preserve">he Minister </w:t>
      </w:r>
      <w:r>
        <w:rPr>
          <w:rFonts w:ascii="Calibri" w:hAnsi="Calibri"/>
        </w:rPr>
        <w:t xml:space="preserve">may </w:t>
      </w:r>
      <w:r w:rsidR="001D1036">
        <w:rPr>
          <w:rFonts w:ascii="Calibri" w:hAnsi="Calibri"/>
        </w:rPr>
        <w:t>consider</w:t>
      </w:r>
      <w:r>
        <w:rPr>
          <w:rFonts w:ascii="Calibri" w:hAnsi="Calibri"/>
        </w:rPr>
        <w:t xml:space="preserve"> any relevant document</w:t>
      </w:r>
      <w:r w:rsidR="00AB50AF">
        <w:rPr>
          <w:rFonts w:ascii="Calibri" w:hAnsi="Calibri"/>
        </w:rPr>
        <w:t>s</w:t>
      </w:r>
      <w:r w:rsidR="00AB20AF">
        <w:rPr>
          <w:rFonts w:ascii="Calibri" w:hAnsi="Calibri"/>
        </w:rPr>
        <w:t xml:space="preserve"> or information, including</w:t>
      </w:r>
      <w:r w:rsidR="001D1036">
        <w:rPr>
          <w:rFonts w:ascii="Calibri" w:hAnsi="Calibri"/>
        </w:rPr>
        <w:t xml:space="preserve"> </w:t>
      </w:r>
      <w:r w:rsidR="00CA25B2" w:rsidRPr="00CA25B2">
        <w:rPr>
          <w:rFonts w:ascii="Calibri" w:hAnsi="Calibri"/>
        </w:rPr>
        <w:t>a TAFE institute’s</w:t>
      </w:r>
      <w:r w:rsidR="00316E97">
        <w:rPr>
          <w:rFonts w:ascii="Calibri" w:hAnsi="Calibri"/>
        </w:rPr>
        <w:t xml:space="preserve"> –</w:t>
      </w:r>
    </w:p>
    <w:p w14:paraId="4BCA7E36" w14:textId="77777777" w:rsidR="00CA25B2" w:rsidRPr="00CA25B2" w:rsidRDefault="00CA25B2" w:rsidP="00CA25B2">
      <w:pPr>
        <w:ind w:left="720"/>
        <w:rPr>
          <w:rFonts w:ascii="Calibri" w:hAnsi="Calibri"/>
        </w:rPr>
      </w:pPr>
    </w:p>
    <w:p w14:paraId="3258AC25" w14:textId="3B3A64C1" w:rsidR="00CA25B2" w:rsidRDefault="001E79F7" w:rsidP="009E7845">
      <w:pPr>
        <w:numPr>
          <w:ilvl w:val="0"/>
          <w:numId w:val="12"/>
        </w:numPr>
        <w:ind w:hanging="731"/>
        <w:rPr>
          <w:rFonts w:ascii="Calibri" w:hAnsi="Calibri"/>
        </w:rPr>
      </w:pPr>
      <w:r>
        <w:rPr>
          <w:rFonts w:ascii="Calibri" w:hAnsi="Calibri"/>
        </w:rPr>
        <w:t>s</w:t>
      </w:r>
      <w:r w:rsidR="00CA25B2" w:rsidRPr="00CA25B2">
        <w:rPr>
          <w:rFonts w:ascii="Calibri" w:hAnsi="Calibri"/>
        </w:rPr>
        <w:t xml:space="preserve">trategic </w:t>
      </w:r>
      <w:r>
        <w:rPr>
          <w:rFonts w:ascii="Calibri" w:hAnsi="Calibri"/>
        </w:rPr>
        <w:t>p</w:t>
      </w:r>
      <w:r w:rsidR="00CA25B2" w:rsidRPr="00CA25B2">
        <w:rPr>
          <w:rFonts w:ascii="Calibri" w:hAnsi="Calibri"/>
        </w:rPr>
        <w:t>lan</w:t>
      </w:r>
      <w:r w:rsidR="00CA25B2">
        <w:rPr>
          <w:rFonts w:ascii="Calibri" w:hAnsi="Calibri"/>
        </w:rPr>
        <w:t>;</w:t>
      </w:r>
    </w:p>
    <w:p w14:paraId="0ED0C8B5" w14:textId="77777777" w:rsidR="00CA25B2" w:rsidRPr="00CA25B2" w:rsidRDefault="00CA25B2" w:rsidP="00CA25B2">
      <w:pPr>
        <w:ind w:left="1440"/>
        <w:rPr>
          <w:rFonts w:ascii="Calibri" w:hAnsi="Calibri"/>
        </w:rPr>
      </w:pPr>
    </w:p>
    <w:p w14:paraId="7AB0833E" w14:textId="1FFFF8DF" w:rsidR="00CA25B2" w:rsidRDefault="001E79F7" w:rsidP="009E7845">
      <w:pPr>
        <w:numPr>
          <w:ilvl w:val="0"/>
          <w:numId w:val="12"/>
        </w:numPr>
        <w:ind w:hanging="731"/>
        <w:rPr>
          <w:rFonts w:ascii="Calibri" w:hAnsi="Calibri"/>
        </w:rPr>
      </w:pPr>
      <w:r w:rsidRPr="001E79F7">
        <w:rPr>
          <w:rFonts w:ascii="Calibri" w:hAnsi="Calibri"/>
        </w:rPr>
        <w:t>compliance attestations as provided in the annual return in accordance with Guideline 8</w:t>
      </w:r>
      <w:r w:rsidR="00CA25B2">
        <w:rPr>
          <w:rFonts w:ascii="Calibri" w:hAnsi="Calibri"/>
        </w:rPr>
        <w:t>;</w:t>
      </w:r>
    </w:p>
    <w:p w14:paraId="60A7EA44" w14:textId="77777777" w:rsidR="00D30D20" w:rsidRPr="00CA25B2" w:rsidRDefault="00D30D20" w:rsidP="00D30D20">
      <w:pPr>
        <w:rPr>
          <w:rFonts w:ascii="Calibri" w:hAnsi="Calibri"/>
        </w:rPr>
      </w:pPr>
    </w:p>
    <w:p w14:paraId="24D31F93" w14:textId="627F224B" w:rsidR="00CA25B2" w:rsidRDefault="001F30FE" w:rsidP="009E7845">
      <w:pPr>
        <w:numPr>
          <w:ilvl w:val="0"/>
          <w:numId w:val="12"/>
        </w:numPr>
        <w:ind w:hanging="731"/>
        <w:rPr>
          <w:rFonts w:ascii="Calibri" w:hAnsi="Calibri"/>
        </w:rPr>
      </w:pPr>
      <w:r>
        <w:rPr>
          <w:rFonts w:ascii="Calibri" w:hAnsi="Calibri"/>
        </w:rPr>
        <w:t>p</w:t>
      </w:r>
      <w:r w:rsidR="008C2637">
        <w:rPr>
          <w:rFonts w:ascii="Calibri" w:hAnsi="Calibri"/>
        </w:rPr>
        <w:t>erformance against f</w:t>
      </w:r>
      <w:r w:rsidR="00CA25B2" w:rsidRPr="00CA25B2">
        <w:rPr>
          <w:rFonts w:ascii="Calibri" w:hAnsi="Calibri"/>
        </w:rPr>
        <w:t>inancia</w:t>
      </w:r>
      <w:r w:rsidR="00D30D20">
        <w:rPr>
          <w:rFonts w:ascii="Calibri" w:hAnsi="Calibri"/>
        </w:rPr>
        <w:t xml:space="preserve">l and non-financial </w:t>
      </w:r>
      <w:r w:rsidR="005712BC">
        <w:rPr>
          <w:rFonts w:ascii="Calibri" w:hAnsi="Calibri"/>
        </w:rPr>
        <w:t>measures</w:t>
      </w:r>
      <w:r w:rsidR="00D30D20">
        <w:rPr>
          <w:rFonts w:ascii="Calibri" w:hAnsi="Calibri"/>
        </w:rPr>
        <w:t>; and</w:t>
      </w:r>
    </w:p>
    <w:p w14:paraId="526F2152" w14:textId="77777777" w:rsidR="00D30D20" w:rsidRPr="00CA25B2" w:rsidRDefault="00D30D20" w:rsidP="00D30D20">
      <w:pPr>
        <w:rPr>
          <w:rFonts w:ascii="Calibri" w:hAnsi="Calibri"/>
        </w:rPr>
      </w:pPr>
    </w:p>
    <w:p w14:paraId="0C5E153E" w14:textId="78C50976" w:rsidR="00CA25B2" w:rsidRDefault="00CA25B2" w:rsidP="009E7845">
      <w:pPr>
        <w:numPr>
          <w:ilvl w:val="0"/>
          <w:numId w:val="12"/>
        </w:numPr>
        <w:ind w:hanging="731"/>
        <w:rPr>
          <w:rFonts w:ascii="Calibri" w:hAnsi="Calibri"/>
        </w:rPr>
      </w:pPr>
      <w:r w:rsidRPr="00CA25B2">
        <w:rPr>
          <w:rFonts w:ascii="Calibri" w:hAnsi="Calibri"/>
        </w:rPr>
        <w:t>Board</w:t>
      </w:r>
      <w:r w:rsidR="008C2637">
        <w:rPr>
          <w:rFonts w:ascii="Calibri" w:hAnsi="Calibri"/>
        </w:rPr>
        <w:t>’s effectiveness</w:t>
      </w:r>
      <w:r w:rsidR="00CA2386">
        <w:rPr>
          <w:rFonts w:ascii="Calibri" w:hAnsi="Calibri"/>
        </w:rPr>
        <w:t xml:space="preserve"> in achieving the institute’s objectives</w:t>
      </w:r>
      <w:r w:rsidR="000463BA">
        <w:rPr>
          <w:rFonts w:ascii="Calibri" w:hAnsi="Calibri"/>
        </w:rPr>
        <w:t xml:space="preserve"> or exercising its powers or functions</w:t>
      </w:r>
      <w:r w:rsidR="00D30D20">
        <w:rPr>
          <w:rFonts w:ascii="Calibri" w:hAnsi="Calibri"/>
        </w:rPr>
        <w:t>.</w:t>
      </w:r>
    </w:p>
    <w:p w14:paraId="1061A5D2" w14:textId="77777777" w:rsidR="005712BC" w:rsidRPr="00CA25B2" w:rsidRDefault="005712BC" w:rsidP="005712BC">
      <w:pPr>
        <w:rPr>
          <w:rFonts w:ascii="Calibri" w:hAnsi="Calibri"/>
        </w:rPr>
      </w:pPr>
    </w:p>
    <w:p w14:paraId="0D2328E8" w14:textId="60FA9541" w:rsidR="005712BC" w:rsidRDefault="005712BC" w:rsidP="009E7845">
      <w:pPr>
        <w:numPr>
          <w:ilvl w:val="0"/>
          <w:numId w:val="5"/>
        </w:numPr>
        <w:rPr>
          <w:rFonts w:ascii="Calibri" w:hAnsi="Calibri"/>
        </w:rPr>
      </w:pPr>
      <w:r w:rsidRPr="005712BC">
        <w:rPr>
          <w:rFonts w:ascii="Calibri" w:hAnsi="Calibri"/>
        </w:rPr>
        <w:t xml:space="preserve">The Department </w:t>
      </w:r>
      <w:r w:rsidR="008206C6">
        <w:rPr>
          <w:rFonts w:ascii="Calibri" w:hAnsi="Calibri"/>
        </w:rPr>
        <w:t xml:space="preserve">may </w:t>
      </w:r>
      <w:r w:rsidRPr="005712BC">
        <w:rPr>
          <w:rFonts w:ascii="Calibri" w:hAnsi="Calibri"/>
        </w:rPr>
        <w:t>implement a more interventionist approach</w:t>
      </w:r>
      <w:r w:rsidR="00DF50FE">
        <w:rPr>
          <w:rFonts w:ascii="Calibri" w:hAnsi="Calibri"/>
        </w:rPr>
        <w:t>, consistent with the Compact,</w:t>
      </w:r>
      <w:r w:rsidRPr="005712BC">
        <w:rPr>
          <w:rFonts w:ascii="Calibri" w:hAnsi="Calibri"/>
        </w:rPr>
        <w:t xml:space="preserve"> where the Minister </w:t>
      </w:r>
      <w:r w:rsidR="00A50915">
        <w:rPr>
          <w:rFonts w:ascii="Calibri" w:hAnsi="Calibri"/>
        </w:rPr>
        <w:t xml:space="preserve">is not satisfied </w:t>
      </w:r>
      <w:r w:rsidRPr="005712BC">
        <w:rPr>
          <w:rFonts w:ascii="Calibri" w:hAnsi="Calibri"/>
        </w:rPr>
        <w:t>that the TAFE institute is being governed appropriately to ensure its short term and long term financial and non–financial objectives are being met.</w:t>
      </w:r>
    </w:p>
    <w:p w14:paraId="18E507ED" w14:textId="77777777" w:rsidR="00185D07" w:rsidRDefault="00185D07" w:rsidP="00035C34">
      <w:pPr>
        <w:ind w:left="720"/>
        <w:rPr>
          <w:rFonts w:ascii="Calibri" w:hAnsi="Calibri"/>
        </w:rPr>
      </w:pPr>
    </w:p>
    <w:p w14:paraId="256DD90E" w14:textId="77777777" w:rsidR="0050707C" w:rsidRDefault="0016590D" w:rsidP="009E7845">
      <w:pPr>
        <w:numPr>
          <w:ilvl w:val="0"/>
          <w:numId w:val="5"/>
        </w:numPr>
        <w:rPr>
          <w:rFonts w:ascii="Calibri" w:hAnsi="Calibri"/>
        </w:rPr>
      </w:pPr>
      <w:r>
        <w:rPr>
          <w:rFonts w:ascii="Calibri" w:hAnsi="Calibri"/>
        </w:rPr>
        <w:t xml:space="preserve">Before taking a more interventionist approach </w:t>
      </w:r>
      <w:r w:rsidR="0032706C">
        <w:rPr>
          <w:rFonts w:ascii="Calibri" w:hAnsi="Calibri"/>
        </w:rPr>
        <w:t xml:space="preserve">– </w:t>
      </w:r>
    </w:p>
    <w:p w14:paraId="022CAC48" w14:textId="77777777" w:rsidR="0032706C" w:rsidRDefault="0032706C" w:rsidP="00035C34">
      <w:pPr>
        <w:ind w:left="720"/>
        <w:rPr>
          <w:rFonts w:ascii="Calibri" w:hAnsi="Calibri"/>
        </w:rPr>
      </w:pPr>
    </w:p>
    <w:p w14:paraId="06D9F07F" w14:textId="174C21D7" w:rsidR="0016590D" w:rsidRDefault="0016590D" w:rsidP="00035C34">
      <w:pPr>
        <w:numPr>
          <w:ilvl w:val="0"/>
          <w:numId w:val="13"/>
        </w:numPr>
        <w:ind w:hanging="731"/>
        <w:rPr>
          <w:rFonts w:ascii="Calibri" w:hAnsi="Calibri"/>
        </w:rPr>
      </w:pPr>
      <w:r>
        <w:rPr>
          <w:rFonts w:ascii="Calibri" w:hAnsi="Calibri"/>
        </w:rPr>
        <w:t xml:space="preserve">the Minister will write to the </w:t>
      </w:r>
      <w:r w:rsidR="00D06743">
        <w:rPr>
          <w:rFonts w:ascii="Calibri" w:hAnsi="Calibri"/>
        </w:rPr>
        <w:t xml:space="preserve">Board </w:t>
      </w:r>
      <w:r w:rsidR="0050707C">
        <w:rPr>
          <w:rFonts w:ascii="Calibri" w:hAnsi="Calibri"/>
        </w:rPr>
        <w:t xml:space="preserve">outlining </w:t>
      </w:r>
      <w:r w:rsidR="0052100B">
        <w:rPr>
          <w:rFonts w:ascii="Calibri" w:hAnsi="Calibri"/>
        </w:rPr>
        <w:t xml:space="preserve">his or her </w:t>
      </w:r>
      <w:r w:rsidR="008206C6">
        <w:rPr>
          <w:rFonts w:ascii="Calibri" w:hAnsi="Calibri"/>
        </w:rPr>
        <w:t xml:space="preserve">concerns in relation to </w:t>
      </w:r>
      <w:r w:rsidR="00FA3E4E">
        <w:rPr>
          <w:rFonts w:ascii="Calibri" w:hAnsi="Calibri"/>
        </w:rPr>
        <w:t xml:space="preserve">whether </w:t>
      </w:r>
      <w:r w:rsidR="001A6B4E">
        <w:rPr>
          <w:rFonts w:ascii="Calibri" w:hAnsi="Calibri"/>
        </w:rPr>
        <w:t xml:space="preserve">the TAFE institute is being governed appropriately to ensure </w:t>
      </w:r>
      <w:r w:rsidR="001A6B4E" w:rsidRPr="005712BC">
        <w:rPr>
          <w:rFonts w:ascii="Calibri" w:hAnsi="Calibri"/>
        </w:rPr>
        <w:t>its short term and long term financial and non–financial objectives are being met</w:t>
      </w:r>
      <w:r w:rsidR="001A6B4E">
        <w:rPr>
          <w:rFonts w:ascii="Calibri" w:hAnsi="Calibri"/>
        </w:rPr>
        <w:t>;</w:t>
      </w:r>
    </w:p>
    <w:p w14:paraId="71EBDD4D" w14:textId="77777777" w:rsidR="00185D07" w:rsidRDefault="00185D07" w:rsidP="00035C34">
      <w:pPr>
        <w:ind w:left="1440"/>
        <w:rPr>
          <w:rFonts w:ascii="Calibri" w:hAnsi="Calibri"/>
        </w:rPr>
      </w:pPr>
    </w:p>
    <w:p w14:paraId="0095C768" w14:textId="440EE713" w:rsidR="00185D07" w:rsidRDefault="00185D07" w:rsidP="00035C34">
      <w:pPr>
        <w:numPr>
          <w:ilvl w:val="0"/>
          <w:numId w:val="13"/>
        </w:numPr>
        <w:ind w:hanging="731"/>
        <w:rPr>
          <w:rFonts w:ascii="Calibri" w:hAnsi="Calibri"/>
        </w:rPr>
      </w:pPr>
      <w:r>
        <w:rPr>
          <w:rFonts w:ascii="Calibri" w:hAnsi="Calibri"/>
        </w:rPr>
        <w:t xml:space="preserve">the </w:t>
      </w:r>
      <w:r w:rsidR="00D06743">
        <w:rPr>
          <w:rFonts w:ascii="Calibri" w:hAnsi="Calibri"/>
        </w:rPr>
        <w:t xml:space="preserve">Board </w:t>
      </w:r>
      <w:r>
        <w:rPr>
          <w:rFonts w:ascii="Calibri" w:hAnsi="Calibri"/>
        </w:rPr>
        <w:t xml:space="preserve">will have the opportunity to respond to the concerns raised by the Minister </w:t>
      </w:r>
      <w:r w:rsidR="00FA3E4E">
        <w:rPr>
          <w:rFonts w:ascii="Calibri" w:hAnsi="Calibri"/>
        </w:rPr>
        <w:t xml:space="preserve">and may provide </w:t>
      </w:r>
      <w:r>
        <w:rPr>
          <w:rFonts w:ascii="Calibri" w:hAnsi="Calibri"/>
        </w:rPr>
        <w:t>evidence to demonstrate that the TAFE institute</w:t>
      </w:r>
      <w:r w:rsidR="001F30FE">
        <w:rPr>
          <w:rFonts w:ascii="Calibri" w:hAnsi="Calibri"/>
        </w:rPr>
        <w:t xml:space="preserve"> is being governed to ensure its</w:t>
      </w:r>
      <w:r>
        <w:rPr>
          <w:rFonts w:ascii="Calibri" w:hAnsi="Calibri"/>
        </w:rPr>
        <w:t xml:space="preserve"> </w:t>
      </w:r>
      <w:r w:rsidRPr="005712BC">
        <w:rPr>
          <w:rFonts w:ascii="Calibri" w:hAnsi="Calibri"/>
        </w:rPr>
        <w:t xml:space="preserve">short term and long term financial and non–financial objectives </w:t>
      </w:r>
      <w:r>
        <w:rPr>
          <w:rFonts w:ascii="Calibri" w:hAnsi="Calibri"/>
        </w:rPr>
        <w:t>will be</w:t>
      </w:r>
      <w:r w:rsidRPr="005712BC">
        <w:rPr>
          <w:rFonts w:ascii="Calibri" w:hAnsi="Calibri"/>
        </w:rPr>
        <w:t xml:space="preserve"> met</w:t>
      </w:r>
      <w:r>
        <w:rPr>
          <w:rFonts w:ascii="Calibri" w:hAnsi="Calibri"/>
        </w:rPr>
        <w:t>;</w:t>
      </w:r>
      <w:r w:rsidR="00170443">
        <w:rPr>
          <w:rFonts w:ascii="Calibri" w:hAnsi="Calibri"/>
        </w:rPr>
        <w:t xml:space="preserve"> and</w:t>
      </w:r>
    </w:p>
    <w:p w14:paraId="0D0F8F77" w14:textId="77777777" w:rsidR="00185D07" w:rsidRDefault="00185D07" w:rsidP="00035C34">
      <w:pPr>
        <w:pStyle w:val="ListParagraph"/>
        <w:rPr>
          <w:rFonts w:ascii="Calibri" w:hAnsi="Calibri"/>
        </w:rPr>
      </w:pPr>
    </w:p>
    <w:p w14:paraId="28FF81EE" w14:textId="3A08E157" w:rsidR="00185D07" w:rsidRDefault="00135DEB" w:rsidP="00035C34">
      <w:pPr>
        <w:numPr>
          <w:ilvl w:val="0"/>
          <w:numId w:val="13"/>
        </w:numPr>
        <w:ind w:hanging="731"/>
        <w:rPr>
          <w:rFonts w:ascii="Calibri" w:hAnsi="Calibri"/>
        </w:rPr>
      </w:pPr>
      <w:proofErr w:type="gramStart"/>
      <w:r>
        <w:rPr>
          <w:rFonts w:ascii="Calibri" w:hAnsi="Calibri"/>
        </w:rPr>
        <w:t>where</w:t>
      </w:r>
      <w:proofErr w:type="gramEnd"/>
      <w:r>
        <w:rPr>
          <w:rFonts w:ascii="Calibri" w:hAnsi="Calibri"/>
        </w:rPr>
        <w:t xml:space="preserve"> the </w:t>
      </w:r>
      <w:r w:rsidR="00D06743">
        <w:rPr>
          <w:rFonts w:ascii="Calibri" w:hAnsi="Calibri"/>
        </w:rPr>
        <w:t>Board</w:t>
      </w:r>
      <w:r>
        <w:rPr>
          <w:rFonts w:ascii="Calibri" w:hAnsi="Calibri"/>
        </w:rPr>
        <w:t xml:space="preserve"> provides </w:t>
      </w:r>
      <w:r w:rsidR="00FA3E4E">
        <w:rPr>
          <w:rFonts w:ascii="Calibri" w:hAnsi="Calibri"/>
        </w:rPr>
        <w:t xml:space="preserve">a response and any </w:t>
      </w:r>
      <w:r>
        <w:rPr>
          <w:rFonts w:ascii="Calibri" w:hAnsi="Calibri"/>
        </w:rPr>
        <w:t>evidence</w:t>
      </w:r>
      <w:r w:rsidR="00FA3E4E">
        <w:rPr>
          <w:rFonts w:ascii="Calibri" w:hAnsi="Calibri"/>
        </w:rPr>
        <w:t xml:space="preserve"> </w:t>
      </w:r>
      <w:r>
        <w:rPr>
          <w:rFonts w:ascii="Calibri" w:hAnsi="Calibri"/>
        </w:rPr>
        <w:t>within the timeframe set out in the Minister’s letter,</w:t>
      </w:r>
      <w:r w:rsidR="001F30FE">
        <w:rPr>
          <w:rFonts w:ascii="Calibri" w:hAnsi="Calibri"/>
        </w:rPr>
        <w:t xml:space="preserve"> that evidence will be considered.</w:t>
      </w:r>
    </w:p>
    <w:p w14:paraId="6D284131" w14:textId="77777777" w:rsidR="005712BC" w:rsidRPr="005712BC" w:rsidRDefault="005712BC" w:rsidP="005712BC">
      <w:pPr>
        <w:ind w:left="720"/>
        <w:rPr>
          <w:rFonts w:ascii="Calibri" w:hAnsi="Calibri"/>
        </w:rPr>
      </w:pPr>
    </w:p>
    <w:p w14:paraId="3C59E010" w14:textId="77777777" w:rsidR="005712BC" w:rsidRDefault="00F96535" w:rsidP="009E7845">
      <w:pPr>
        <w:numPr>
          <w:ilvl w:val="0"/>
          <w:numId w:val="5"/>
        </w:numPr>
        <w:rPr>
          <w:rFonts w:ascii="Calibri" w:hAnsi="Calibri"/>
        </w:rPr>
      </w:pPr>
      <w:r>
        <w:rPr>
          <w:rFonts w:ascii="Calibri" w:hAnsi="Calibri"/>
        </w:rPr>
        <w:t>Where required,</w:t>
      </w:r>
      <w:r w:rsidR="005712BC" w:rsidRPr="005712BC">
        <w:rPr>
          <w:rFonts w:ascii="Calibri" w:hAnsi="Calibri"/>
        </w:rPr>
        <w:t xml:space="preserve"> the </w:t>
      </w:r>
      <w:r>
        <w:rPr>
          <w:rFonts w:ascii="Calibri" w:hAnsi="Calibri"/>
        </w:rPr>
        <w:t xml:space="preserve">types </w:t>
      </w:r>
      <w:r w:rsidR="005712BC" w:rsidRPr="005712BC">
        <w:rPr>
          <w:rFonts w:ascii="Calibri" w:hAnsi="Calibri"/>
        </w:rPr>
        <w:t>of interventions</w:t>
      </w:r>
      <w:r>
        <w:rPr>
          <w:rFonts w:ascii="Calibri" w:hAnsi="Calibri"/>
        </w:rPr>
        <w:t xml:space="preserve"> that could be introduced include</w:t>
      </w:r>
      <w:r w:rsidR="00F30A37">
        <w:rPr>
          <w:rFonts w:ascii="Calibri" w:hAnsi="Calibri"/>
        </w:rPr>
        <w:t> </w:t>
      </w:r>
      <w:r w:rsidR="002D57F0">
        <w:rPr>
          <w:rFonts w:ascii="Calibri" w:hAnsi="Calibri"/>
        </w:rPr>
        <w:t>–</w:t>
      </w:r>
    </w:p>
    <w:p w14:paraId="5EF58D38" w14:textId="77777777" w:rsidR="005712BC" w:rsidRDefault="005712BC" w:rsidP="005712BC">
      <w:pPr>
        <w:pStyle w:val="ListParagraph"/>
        <w:rPr>
          <w:rFonts w:ascii="Calibri" w:hAnsi="Calibri"/>
        </w:rPr>
      </w:pPr>
    </w:p>
    <w:p w14:paraId="0D377B28" w14:textId="77777777" w:rsidR="005712BC" w:rsidRDefault="00873415" w:rsidP="00035C34">
      <w:pPr>
        <w:numPr>
          <w:ilvl w:val="0"/>
          <w:numId w:val="28"/>
        </w:numPr>
        <w:ind w:hanging="731"/>
        <w:rPr>
          <w:rFonts w:ascii="Calibri" w:hAnsi="Calibri"/>
        </w:rPr>
      </w:pPr>
      <w:r>
        <w:rPr>
          <w:rFonts w:ascii="Calibri" w:hAnsi="Calibri"/>
        </w:rPr>
        <w:t>m</w:t>
      </w:r>
      <w:r w:rsidR="005712BC" w:rsidRPr="005712BC">
        <w:rPr>
          <w:rFonts w:ascii="Calibri" w:hAnsi="Calibri"/>
        </w:rPr>
        <w:t xml:space="preserve">onthly </w:t>
      </w:r>
      <w:r>
        <w:rPr>
          <w:rFonts w:ascii="Calibri" w:hAnsi="Calibri"/>
        </w:rPr>
        <w:t>reporting to the Deputy Secretary;</w:t>
      </w:r>
    </w:p>
    <w:p w14:paraId="247C70E5" w14:textId="77777777" w:rsidR="00873415" w:rsidRPr="005712BC" w:rsidRDefault="00873415" w:rsidP="00B3090B">
      <w:pPr>
        <w:ind w:left="1440" w:hanging="731"/>
        <w:rPr>
          <w:rFonts w:ascii="Calibri" w:hAnsi="Calibri"/>
        </w:rPr>
      </w:pPr>
    </w:p>
    <w:p w14:paraId="5503BFFB" w14:textId="77551AB9" w:rsidR="005712BC" w:rsidRDefault="005712BC" w:rsidP="00035C34">
      <w:pPr>
        <w:numPr>
          <w:ilvl w:val="0"/>
          <w:numId w:val="28"/>
        </w:numPr>
        <w:ind w:hanging="731"/>
        <w:rPr>
          <w:rFonts w:ascii="Calibri" w:hAnsi="Calibri"/>
        </w:rPr>
      </w:pPr>
      <w:r w:rsidRPr="005712BC">
        <w:rPr>
          <w:rFonts w:ascii="Calibri" w:hAnsi="Calibri"/>
        </w:rPr>
        <w:t xml:space="preserve">more frequent strategic dialogues with the Minister or his </w:t>
      </w:r>
      <w:r w:rsidR="009D6150">
        <w:rPr>
          <w:rFonts w:ascii="Calibri" w:hAnsi="Calibri"/>
        </w:rPr>
        <w:t xml:space="preserve">or her </w:t>
      </w:r>
      <w:r w:rsidRPr="005712BC">
        <w:rPr>
          <w:rFonts w:ascii="Calibri" w:hAnsi="Calibri"/>
        </w:rPr>
        <w:t>delegate</w:t>
      </w:r>
      <w:r w:rsidR="00873415">
        <w:rPr>
          <w:rFonts w:ascii="Calibri" w:hAnsi="Calibri"/>
        </w:rPr>
        <w:t>;</w:t>
      </w:r>
      <w:r w:rsidR="008C2637">
        <w:rPr>
          <w:rFonts w:ascii="Calibri" w:hAnsi="Calibri"/>
        </w:rPr>
        <w:t xml:space="preserve"> or</w:t>
      </w:r>
    </w:p>
    <w:p w14:paraId="0BE8E245" w14:textId="77777777" w:rsidR="00873415" w:rsidRPr="005712BC" w:rsidRDefault="00873415" w:rsidP="00B3090B">
      <w:pPr>
        <w:ind w:hanging="731"/>
        <w:rPr>
          <w:rFonts w:ascii="Calibri" w:hAnsi="Calibri"/>
        </w:rPr>
      </w:pPr>
    </w:p>
    <w:p w14:paraId="003D1BA1" w14:textId="77777777" w:rsidR="005712BC" w:rsidRDefault="005712BC" w:rsidP="00035C34">
      <w:pPr>
        <w:numPr>
          <w:ilvl w:val="0"/>
          <w:numId w:val="28"/>
        </w:numPr>
        <w:ind w:hanging="731"/>
        <w:rPr>
          <w:rFonts w:ascii="Calibri" w:hAnsi="Calibri"/>
        </w:rPr>
      </w:pPr>
      <w:proofErr w:type="gramStart"/>
      <w:r w:rsidRPr="005712BC">
        <w:rPr>
          <w:rFonts w:ascii="Calibri" w:hAnsi="Calibri"/>
        </w:rPr>
        <w:t>monthly</w:t>
      </w:r>
      <w:proofErr w:type="gramEnd"/>
      <w:r w:rsidRPr="005712BC">
        <w:rPr>
          <w:rFonts w:ascii="Calibri" w:hAnsi="Calibri"/>
        </w:rPr>
        <w:t xml:space="preserve"> financial meetings between the Department’s Chief Financial Officer and the TAFE institute’s Chief Financial Officer</w:t>
      </w:r>
      <w:r w:rsidR="008C2637">
        <w:rPr>
          <w:rFonts w:ascii="Calibri" w:hAnsi="Calibri"/>
        </w:rPr>
        <w:t>.</w:t>
      </w:r>
    </w:p>
    <w:p w14:paraId="4359A98F" w14:textId="77777777" w:rsidR="00873415" w:rsidRPr="005712BC" w:rsidRDefault="00873415" w:rsidP="00463E85">
      <w:pPr>
        <w:ind w:hanging="731"/>
        <w:rPr>
          <w:rFonts w:ascii="Calibri" w:hAnsi="Calibri"/>
        </w:rPr>
      </w:pPr>
    </w:p>
    <w:p w14:paraId="61CAA405" w14:textId="2E2C4EB7" w:rsidR="005712BC" w:rsidRPr="005712BC" w:rsidRDefault="00AB50AF" w:rsidP="009E7845">
      <w:pPr>
        <w:numPr>
          <w:ilvl w:val="0"/>
          <w:numId w:val="5"/>
        </w:numPr>
        <w:rPr>
          <w:rFonts w:ascii="Calibri" w:hAnsi="Calibri"/>
        </w:rPr>
      </w:pPr>
      <w:r>
        <w:rPr>
          <w:rFonts w:ascii="Calibri" w:hAnsi="Calibri"/>
        </w:rPr>
        <w:t xml:space="preserve">Interventions applied by the Department </w:t>
      </w:r>
      <w:r w:rsidR="005712BC" w:rsidRPr="005712BC">
        <w:rPr>
          <w:rFonts w:ascii="Calibri" w:hAnsi="Calibri"/>
        </w:rPr>
        <w:t xml:space="preserve">will be </w:t>
      </w:r>
      <w:r>
        <w:rPr>
          <w:rFonts w:ascii="Calibri" w:hAnsi="Calibri"/>
        </w:rPr>
        <w:t xml:space="preserve">appropriate to the matters considered by the Minister in determining whether or not </w:t>
      </w:r>
      <w:r w:rsidR="005712BC" w:rsidRPr="005712BC">
        <w:rPr>
          <w:rFonts w:ascii="Calibri" w:hAnsi="Calibri"/>
        </w:rPr>
        <w:t xml:space="preserve">the Minister </w:t>
      </w:r>
      <w:r>
        <w:rPr>
          <w:rFonts w:ascii="Calibri" w:hAnsi="Calibri"/>
        </w:rPr>
        <w:t xml:space="preserve">is satisfied that a </w:t>
      </w:r>
      <w:r w:rsidR="005712BC" w:rsidRPr="005712BC">
        <w:rPr>
          <w:rFonts w:ascii="Calibri" w:hAnsi="Calibri"/>
        </w:rPr>
        <w:t xml:space="preserve">TAFE institute </w:t>
      </w:r>
      <w:r>
        <w:rPr>
          <w:rFonts w:ascii="Calibri" w:hAnsi="Calibri"/>
        </w:rPr>
        <w:t xml:space="preserve">is </w:t>
      </w:r>
      <w:r w:rsidR="005712BC" w:rsidRPr="005712BC">
        <w:rPr>
          <w:rFonts w:ascii="Calibri" w:hAnsi="Calibri"/>
        </w:rPr>
        <w:t xml:space="preserve">being governed appropriately to ensure its short term and long term financial and non-financial objectives are met, and </w:t>
      </w:r>
      <w:r>
        <w:rPr>
          <w:rFonts w:ascii="Calibri" w:hAnsi="Calibri"/>
        </w:rPr>
        <w:t>any measures undertaken by the TAFE institute as a result of the Minister determining that he or she is not so satisfied</w:t>
      </w:r>
      <w:r w:rsidR="005712BC" w:rsidRPr="005712BC">
        <w:rPr>
          <w:rFonts w:ascii="Calibri" w:hAnsi="Calibri"/>
        </w:rPr>
        <w:t>.</w:t>
      </w:r>
    </w:p>
    <w:p w14:paraId="36035093" w14:textId="77777777" w:rsidR="00A52F89" w:rsidRDefault="00A52F89" w:rsidP="00EE1353">
      <w:pPr>
        <w:rPr>
          <w:rFonts w:ascii="Calibri" w:hAnsi="Calibri"/>
        </w:rPr>
      </w:pPr>
    </w:p>
    <w:p w14:paraId="3836DB70" w14:textId="6B97DC98" w:rsidR="0013414F" w:rsidRDefault="0018364D" w:rsidP="0013414F">
      <w:pPr>
        <w:pStyle w:val="Heading3"/>
        <w:rPr>
          <w:rFonts w:ascii="Calibri" w:hAnsi="Calibri"/>
        </w:rPr>
      </w:pPr>
      <w:bookmarkStart w:id="45" w:name="_Toc343609460"/>
      <w:r>
        <w:rPr>
          <w:rFonts w:ascii="Calibri" w:hAnsi="Calibri"/>
        </w:rPr>
        <w:br w:type="page"/>
      </w:r>
      <w:bookmarkStart w:id="46" w:name="_Toc353436450"/>
      <w:r w:rsidR="0013414F" w:rsidRPr="008A2346">
        <w:rPr>
          <w:rFonts w:ascii="Calibri" w:hAnsi="Calibri"/>
        </w:rPr>
        <w:lastRenderedPageBreak/>
        <w:t xml:space="preserve">Guideline </w:t>
      </w:r>
      <w:r w:rsidR="00463E85">
        <w:rPr>
          <w:rFonts w:ascii="Calibri" w:hAnsi="Calibri"/>
        </w:rPr>
        <w:t>8</w:t>
      </w:r>
      <w:r w:rsidR="0013414F" w:rsidRPr="008A2346">
        <w:rPr>
          <w:rFonts w:ascii="Calibri" w:hAnsi="Calibri"/>
        </w:rPr>
        <w:t xml:space="preserve"> –</w:t>
      </w:r>
      <w:r w:rsidR="0013414F">
        <w:rPr>
          <w:rFonts w:ascii="Calibri" w:hAnsi="Calibri"/>
        </w:rPr>
        <w:t xml:space="preserve"> Annual return</w:t>
      </w:r>
      <w:bookmarkEnd w:id="45"/>
      <w:bookmarkEnd w:id="46"/>
    </w:p>
    <w:p w14:paraId="2B8D2ED5" w14:textId="77777777" w:rsidR="00863FA7" w:rsidRDefault="00AC274F" w:rsidP="009E7845">
      <w:pPr>
        <w:numPr>
          <w:ilvl w:val="0"/>
          <w:numId w:val="5"/>
        </w:numPr>
        <w:rPr>
          <w:rFonts w:ascii="Calibri" w:hAnsi="Calibri"/>
        </w:rPr>
      </w:pPr>
      <w:r>
        <w:rPr>
          <w:rFonts w:ascii="Calibri" w:hAnsi="Calibri"/>
        </w:rPr>
        <w:t>The B</w:t>
      </w:r>
      <w:r w:rsidR="00863FA7" w:rsidRPr="006E59E3">
        <w:rPr>
          <w:rFonts w:ascii="Calibri" w:hAnsi="Calibri"/>
        </w:rPr>
        <w:t xml:space="preserve">oard must </w:t>
      </w:r>
      <w:r w:rsidR="00863FA7">
        <w:rPr>
          <w:rFonts w:ascii="Calibri" w:hAnsi="Calibri"/>
        </w:rPr>
        <w:t xml:space="preserve">prepare </w:t>
      </w:r>
      <w:r w:rsidR="00863FA7" w:rsidRPr="006E59E3">
        <w:rPr>
          <w:rFonts w:ascii="Calibri" w:hAnsi="Calibri"/>
        </w:rPr>
        <w:t>an annual return to the Deputy Secretary which inc</w:t>
      </w:r>
      <w:r w:rsidR="00863FA7">
        <w:rPr>
          <w:rFonts w:ascii="Calibri" w:hAnsi="Calibri"/>
        </w:rPr>
        <w:t>ludes the following information</w:t>
      </w:r>
      <w:r w:rsidR="008C2637">
        <w:rPr>
          <w:rFonts w:ascii="Calibri" w:hAnsi="Calibri"/>
        </w:rPr>
        <w:t xml:space="preserve"> –</w:t>
      </w:r>
    </w:p>
    <w:p w14:paraId="624A5E5E" w14:textId="77777777" w:rsidR="001B7495" w:rsidRPr="006E59E3" w:rsidRDefault="001B7495" w:rsidP="001B7495">
      <w:pPr>
        <w:ind w:left="720"/>
        <w:rPr>
          <w:rFonts w:ascii="Calibri" w:hAnsi="Calibri"/>
        </w:rPr>
      </w:pPr>
    </w:p>
    <w:p w14:paraId="5A1336CE" w14:textId="77777777" w:rsidR="001B7495" w:rsidRDefault="00863FA7" w:rsidP="009E7845">
      <w:pPr>
        <w:numPr>
          <w:ilvl w:val="0"/>
          <w:numId w:val="14"/>
        </w:numPr>
        <w:ind w:hanging="490"/>
        <w:rPr>
          <w:rFonts w:ascii="Calibri" w:hAnsi="Calibri"/>
        </w:rPr>
      </w:pPr>
      <w:r w:rsidRPr="001B7495">
        <w:rPr>
          <w:rFonts w:ascii="Calibri" w:hAnsi="Calibri"/>
        </w:rPr>
        <w:t>a li</w:t>
      </w:r>
      <w:r w:rsidR="00AC274F">
        <w:rPr>
          <w:rFonts w:ascii="Calibri" w:hAnsi="Calibri"/>
        </w:rPr>
        <w:t>st of all the directors of the B</w:t>
      </w:r>
      <w:r w:rsidRPr="001B7495">
        <w:rPr>
          <w:rFonts w:ascii="Calibri" w:hAnsi="Calibri"/>
        </w:rPr>
        <w:t>oard holding office as at the previous 3</w:t>
      </w:r>
      <w:r w:rsidR="00D15DB7">
        <w:rPr>
          <w:rFonts w:ascii="Calibri" w:hAnsi="Calibri"/>
        </w:rPr>
        <w:t>1</w:t>
      </w:r>
      <w:r w:rsidRPr="001B7495">
        <w:rPr>
          <w:rFonts w:ascii="Calibri" w:hAnsi="Calibri"/>
        </w:rPr>
        <w:t> </w:t>
      </w:r>
      <w:r w:rsidR="00D15DB7">
        <w:rPr>
          <w:rFonts w:ascii="Calibri" w:hAnsi="Calibri"/>
        </w:rPr>
        <w:t>December</w:t>
      </w:r>
      <w:r w:rsidRPr="001B7495">
        <w:rPr>
          <w:rFonts w:ascii="Calibri" w:hAnsi="Calibri"/>
        </w:rPr>
        <w:t>, including in relation to each director</w:t>
      </w:r>
      <w:r w:rsidR="008C2637">
        <w:rPr>
          <w:rFonts w:ascii="Calibri" w:hAnsi="Calibri"/>
        </w:rPr>
        <w:t xml:space="preserve"> –</w:t>
      </w:r>
    </w:p>
    <w:p w14:paraId="2E2A63F0" w14:textId="77777777" w:rsidR="007155A1" w:rsidRDefault="007155A1" w:rsidP="007155A1">
      <w:pPr>
        <w:ind w:left="1199"/>
        <w:rPr>
          <w:rFonts w:ascii="Calibri" w:hAnsi="Calibri"/>
        </w:rPr>
      </w:pPr>
    </w:p>
    <w:p w14:paraId="2B48C5A1" w14:textId="77777777" w:rsidR="001B7495" w:rsidRPr="007155A1" w:rsidRDefault="00863FA7" w:rsidP="009E7845">
      <w:pPr>
        <w:numPr>
          <w:ilvl w:val="1"/>
          <w:numId w:val="14"/>
        </w:numPr>
      </w:pPr>
      <w:r w:rsidRPr="001B7495">
        <w:rPr>
          <w:rFonts w:ascii="Calibri" w:hAnsi="Calibri"/>
        </w:rPr>
        <w:t>their full name; and</w:t>
      </w:r>
    </w:p>
    <w:p w14:paraId="21D28A5B" w14:textId="77777777" w:rsidR="007155A1" w:rsidRPr="001B7495" w:rsidRDefault="007155A1" w:rsidP="007155A1">
      <w:pPr>
        <w:ind w:left="1919"/>
      </w:pPr>
    </w:p>
    <w:p w14:paraId="251288DF" w14:textId="77777777" w:rsidR="007155A1" w:rsidRDefault="00863FA7" w:rsidP="009E7845">
      <w:pPr>
        <w:numPr>
          <w:ilvl w:val="1"/>
          <w:numId w:val="14"/>
        </w:numPr>
        <w:rPr>
          <w:rFonts w:ascii="Calibri" w:hAnsi="Calibri"/>
        </w:rPr>
      </w:pPr>
      <w:r w:rsidRPr="007155A1">
        <w:rPr>
          <w:rFonts w:ascii="Calibri" w:hAnsi="Calibri"/>
        </w:rPr>
        <w:t>the dates of commencement and expiry of their terms; and</w:t>
      </w:r>
    </w:p>
    <w:p w14:paraId="5319953F" w14:textId="77777777" w:rsidR="007155A1" w:rsidRPr="007155A1" w:rsidRDefault="007155A1" w:rsidP="007155A1">
      <w:pPr>
        <w:rPr>
          <w:rFonts w:ascii="Calibri" w:hAnsi="Calibri"/>
        </w:rPr>
      </w:pPr>
    </w:p>
    <w:p w14:paraId="177F819C" w14:textId="77777777" w:rsidR="007155A1" w:rsidRDefault="00863FA7" w:rsidP="009E7845">
      <w:pPr>
        <w:numPr>
          <w:ilvl w:val="1"/>
          <w:numId w:val="14"/>
        </w:numPr>
        <w:rPr>
          <w:rFonts w:ascii="Calibri" w:hAnsi="Calibri"/>
        </w:rPr>
      </w:pPr>
      <w:r w:rsidRPr="007155A1">
        <w:rPr>
          <w:rFonts w:ascii="Calibri" w:hAnsi="Calibri"/>
        </w:rPr>
        <w:t>their periods of previous service, if any; and</w:t>
      </w:r>
    </w:p>
    <w:p w14:paraId="119BEA7B" w14:textId="77777777" w:rsidR="007155A1" w:rsidRPr="007155A1" w:rsidRDefault="007155A1" w:rsidP="007155A1">
      <w:pPr>
        <w:rPr>
          <w:rFonts w:ascii="Calibri" w:hAnsi="Calibri"/>
        </w:rPr>
      </w:pPr>
    </w:p>
    <w:p w14:paraId="257F3BFD" w14:textId="77777777" w:rsidR="00863FA7" w:rsidRDefault="00863FA7" w:rsidP="009E7845">
      <w:pPr>
        <w:numPr>
          <w:ilvl w:val="1"/>
          <w:numId w:val="14"/>
        </w:numPr>
        <w:rPr>
          <w:rFonts w:ascii="Calibri" w:hAnsi="Calibri"/>
        </w:rPr>
      </w:pPr>
      <w:r w:rsidRPr="007155A1">
        <w:rPr>
          <w:rFonts w:ascii="Calibri" w:hAnsi="Calibri"/>
        </w:rPr>
        <w:t>their category of membership; and</w:t>
      </w:r>
    </w:p>
    <w:p w14:paraId="1D2D2171" w14:textId="77777777" w:rsidR="007155A1" w:rsidRDefault="007155A1" w:rsidP="007155A1">
      <w:pPr>
        <w:pStyle w:val="ListParagraph"/>
        <w:rPr>
          <w:rFonts w:ascii="Calibri" w:hAnsi="Calibri"/>
        </w:rPr>
      </w:pPr>
    </w:p>
    <w:p w14:paraId="6768BF4B" w14:textId="77777777" w:rsidR="007155A1" w:rsidRPr="007155A1" w:rsidRDefault="007155A1" w:rsidP="009E7845">
      <w:pPr>
        <w:numPr>
          <w:ilvl w:val="1"/>
          <w:numId w:val="14"/>
        </w:numPr>
        <w:rPr>
          <w:rFonts w:ascii="Calibri" w:hAnsi="Calibri"/>
        </w:rPr>
      </w:pPr>
      <w:r w:rsidRPr="00735712">
        <w:rPr>
          <w:rFonts w:ascii="Calibri" w:hAnsi="Calibri"/>
        </w:rPr>
        <w:t xml:space="preserve">an attestation that to the best of his or her knowledge, the institute has complied with its legal, ethical, and policy obligations and in instances where the institute has committed a breach, to provide </w:t>
      </w:r>
      <w:r w:rsidR="000534EF">
        <w:rPr>
          <w:rFonts w:ascii="Calibri" w:hAnsi="Calibri"/>
        </w:rPr>
        <w:t>the number of types of breaches, the number of breaches for each type of breach, a</w:t>
      </w:r>
      <w:r w:rsidRPr="00735712">
        <w:rPr>
          <w:rFonts w:ascii="Calibri" w:hAnsi="Calibri"/>
        </w:rPr>
        <w:t xml:space="preserve"> description of each </w:t>
      </w:r>
      <w:r w:rsidR="00211FF0">
        <w:rPr>
          <w:rFonts w:ascii="Calibri" w:hAnsi="Calibri"/>
        </w:rPr>
        <w:t xml:space="preserve">type of </w:t>
      </w:r>
      <w:r w:rsidRPr="00735712">
        <w:rPr>
          <w:rFonts w:ascii="Calibri" w:hAnsi="Calibri"/>
        </w:rPr>
        <w:t xml:space="preserve">breach and the actions taken to rectify </w:t>
      </w:r>
      <w:r w:rsidR="000534EF">
        <w:rPr>
          <w:rFonts w:ascii="Calibri" w:hAnsi="Calibri"/>
        </w:rPr>
        <w:t xml:space="preserve">each type of </w:t>
      </w:r>
      <w:r w:rsidRPr="00735712">
        <w:rPr>
          <w:rFonts w:ascii="Calibri" w:hAnsi="Calibri"/>
        </w:rPr>
        <w:t>breach</w:t>
      </w:r>
      <w:r w:rsidR="000534EF">
        <w:rPr>
          <w:rFonts w:ascii="Calibri" w:hAnsi="Calibri"/>
        </w:rPr>
        <w:t>;</w:t>
      </w:r>
      <w:r w:rsidR="0087359A">
        <w:rPr>
          <w:rFonts w:ascii="Calibri" w:hAnsi="Calibri"/>
        </w:rPr>
        <w:t xml:space="preserve"> and</w:t>
      </w:r>
    </w:p>
    <w:p w14:paraId="387F98E2" w14:textId="77777777" w:rsidR="00735712" w:rsidRDefault="00863FA7" w:rsidP="00735712">
      <w:pPr>
        <w:pStyle w:val="constitutionpara"/>
        <w:keepNext w:val="0"/>
        <w:jc w:val="left"/>
        <w:rPr>
          <w:rFonts w:ascii="Calibri" w:hAnsi="Calibri"/>
        </w:rPr>
      </w:pPr>
      <w:r w:rsidRPr="00740CE2">
        <w:rPr>
          <w:rFonts w:ascii="Calibri" w:hAnsi="Calibri"/>
        </w:rPr>
        <w:t>(b)</w:t>
      </w:r>
      <w:r w:rsidRPr="00CA1BC8">
        <w:tab/>
      </w:r>
      <w:proofErr w:type="gramStart"/>
      <w:r w:rsidRPr="007C4084">
        <w:rPr>
          <w:rFonts w:ascii="Calibri" w:hAnsi="Calibri"/>
        </w:rPr>
        <w:t>a</w:t>
      </w:r>
      <w:proofErr w:type="gramEnd"/>
      <w:r w:rsidRPr="007C4084">
        <w:rPr>
          <w:rFonts w:ascii="Calibri" w:hAnsi="Calibri"/>
        </w:rPr>
        <w:t xml:space="preserve"> list of committees of the </w:t>
      </w:r>
      <w:r w:rsidR="00AC274F">
        <w:rPr>
          <w:rFonts w:ascii="Calibri" w:hAnsi="Calibri"/>
        </w:rPr>
        <w:t>B</w:t>
      </w:r>
      <w:r w:rsidRPr="007C4084">
        <w:rPr>
          <w:rFonts w:ascii="Calibri" w:hAnsi="Calibri"/>
        </w:rPr>
        <w:t>oard as at the previous 3</w:t>
      </w:r>
      <w:r w:rsidR="00D15DB7">
        <w:rPr>
          <w:rFonts w:ascii="Calibri" w:hAnsi="Calibri"/>
        </w:rPr>
        <w:t>1 December</w:t>
      </w:r>
      <w:r>
        <w:rPr>
          <w:rFonts w:ascii="Calibri" w:hAnsi="Calibri"/>
        </w:rPr>
        <w:t>, including for each committee</w:t>
      </w:r>
      <w:r w:rsidR="002D57F0">
        <w:rPr>
          <w:rFonts w:ascii="Calibri" w:hAnsi="Calibri"/>
        </w:rPr>
        <w:t xml:space="preserve"> –</w:t>
      </w:r>
    </w:p>
    <w:p w14:paraId="1218DA84" w14:textId="77777777" w:rsidR="00735712" w:rsidRPr="00735712" w:rsidRDefault="00863FA7" w:rsidP="009E7845">
      <w:pPr>
        <w:pStyle w:val="constitutionpara"/>
        <w:keepNext w:val="0"/>
        <w:numPr>
          <w:ilvl w:val="0"/>
          <w:numId w:val="15"/>
        </w:numPr>
        <w:ind w:left="1985"/>
        <w:jc w:val="left"/>
      </w:pPr>
      <w:r w:rsidRPr="00735712">
        <w:rPr>
          <w:rFonts w:ascii="Calibri" w:hAnsi="Calibri"/>
        </w:rPr>
        <w:t>the committee's name and functions; and</w:t>
      </w:r>
    </w:p>
    <w:p w14:paraId="5E83A735" w14:textId="77777777" w:rsidR="00863FA7" w:rsidRPr="00BA4601" w:rsidRDefault="00863FA7" w:rsidP="009E7845">
      <w:pPr>
        <w:pStyle w:val="constitutionpara"/>
        <w:keepNext w:val="0"/>
        <w:numPr>
          <w:ilvl w:val="0"/>
          <w:numId w:val="15"/>
        </w:numPr>
        <w:ind w:left="1985"/>
        <w:jc w:val="left"/>
        <w:rPr>
          <w:rFonts w:ascii="Calibri" w:hAnsi="Calibri"/>
        </w:rPr>
      </w:pPr>
      <w:r w:rsidRPr="00BA4601">
        <w:rPr>
          <w:rFonts w:ascii="Calibri" w:hAnsi="Calibri"/>
        </w:rPr>
        <w:t xml:space="preserve">details of any delegations by the </w:t>
      </w:r>
      <w:r w:rsidR="00AC274F">
        <w:rPr>
          <w:rFonts w:ascii="Calibri" w:hAnsi="Calibri"/>
        </w:rPr>
        <w:t>B</w:t>
      </w:r>
      <w:r w:rsidRPr="00BA4601">
        <w:rPr>
          <w:rFonts w:ascii="Calibri" w:hAnsi="Calibri"/>
        </w:rPr>
        <w:t>oard to the committee; and</w:t>
      </w:r>
    </w:p>
    <w:p w14:paraId="7BB2915D" w14:textId="77777777" w:rsidR="00863FA7" w:rsidRDefault="00863FA7" w:rsidP="00863FA7"/>
    <w:p w14:paraId="0C7F9952" w14:textId="77777777" w:rsidR="00726841" w:rsidRPr="00726841" w:rsidRDefault="00735712" w:rsidP="009E7845">
      <w:pPr>
        <w:pStyle w:val="constitutionpara"/>
        <w:keepNext w:val="0"/>
        <w:numPr>
          <w:ilvl w:val="0"/>
          <w:numId w:val="17"/>
        </w:numPr>
        <w:jc w:val="left"/>
        <w:rPr>
          <w:rFonts w:ascii="Calibri" w:hAnsi="Calibri"/>
        </w:rPr>
      </w:pPr>
      <w:r w:rsidRPr="007C4084">
        <w:rPr>
          <w:rFonts w:ascii="Calibri" w:hAnsi="Calibri"/>
        </w:rPr>
        <w:t>a list of all the members of each committee holding office as at the previous 3</w:t>
      </w:r>
      <w:r w:rsidR="00D15DB7">
        <w:rPr>
          <w:rFonts w:ascii="Calibri" w:hAnsi="Calibri"/>
        </w:rPr>
        <w:t>1 December</w:t>
      </w:r>
      <w:r w:rsidRPr="007C4084">
        <w:rPr>
          <w:rFonts w:ascii="Calibri" w:hAnsi="Calibri"/>
        </w:rPr>
        <w:t>, includi</w:t>
      </w:r>
      <w:r>
        <w:rPr>
          <w:rFonts w:ascii="Calibri" w:hAnsi="Calibri"/>
        </w:rPr>
        <w:t>ng in relation to each</w:t>
      </w:r>
      <w:r w:rsidR="00BA4601">
        <w:rPr>
          <w:rFonts w:ascii="Calibri" w:hAnsi="Calibri"/>
        </w:rPr>
        <w:t xml:space="preserve"> committee member</w:t>
      </w:r>
      <w:r w:rsidR="002D57F0">
        <w:rPr>
          <w:rFonts w:ascii="Calibri" w:hAnsi="Calibri"/>
        </w:rPr>
        <w:t xml:space="preserve"> –</w:t>
      </w:r>
    </w:p>
    <w:p w14:paraId="16298E12" w14:textId="77777777" w:rsidR="00735712" w:rsidRPr="00726841" w:rsidRDefault="00735712" w:rsidP="009E7845">
      <w:pPr>
        <w:pStyle w:val="constitutionpara"/>
        <w:keepNext w:val="0"/>
        <w:numPr>
          <w:ilvl w:val="0"/>
          <w:numId w:val="16"/>
        </w:numPr>
        <w:ind w:left="1985"/>
        <w:jc w:val="left"/>
        <w:rPr>
          <w:rFonts w:ascii="Calibri" w:hAnsi="Calibri"/>
        </w:rPr>
      </w:pPr>
      <w:r w:rsidRPr="00726841">
        <w:rPr>
          <w:rFonts w:ascii="Calibri" w:hAnsi="Calibri"/>
        </w:rPr>
        <w:t>their full name; and</w:t>
      </w:r>
    </w:p>
    <w:p w14:paraId="533C139E" w14:textId="77777777" w:rsidR="00D13CF0" w:rsidRPr="00726841" w:rsidRDefault="00D13CF0" w:rsidP="009E7845">
      <w:pPr>
        <w:pStyle w:val="constitutionpara"/>
        <w:keepNext w:val="0"/>
        <w:numPr>
          <w:ilvl w:val="0"/>
          <w:numId w:val="16"/>
        </w:numPr>
        <w:ind w:left="1985"/>
        <w:jc w:val="left"/>
        <w:rPr>
          <w:rFonts w:ascii="Calibri" w:hAnsi="Calibri"/>
        </w:rPr>
      </w:pPr>
      <w:r w:rsidRPr="00726841">
        <w:rPr>
          <w:rFonts w:ascii="Calibri" w:hAnsi="Calibri"/>
        </w:rPr>
        <w:t>the dates of commencement and expiry of their terms; and</w:t>
      </w:r>
    </w:p>
    <w:p w14:paraId="42C96E63" w14:textId="77777777" w:rsidR="00D13CF0" w:rsidRPr="00726841" w:rsidRDefault="00D13CF0" w:rsidP="009E7845">
      <w:pPr>
        <w:pStyle w:val="constitutionpara"/>
        <w:keepNext w:val="0"/>
        <w:numPr>
          <w:ilvl w:val="0"/>
          <w:numId w:val="16"/>
        </w:numPr>
        <w:ind w:left="1985"/>
        <w:jc w:val="left"/>
        <w:rPr>
          <w:rFonts w:ascii="Calibri" w:hAnsi="Calibri"/>
        </w:rPr>
      </w:pPr>
      <w:r w:rsidRPr="00726841">
        <w:rPr>
          <w:rFonts w:ascii="Calibri" w:hAnsi="Calibri"/>
        </w:rPr>
        <w:t>their periods of previous service, if any; and</w:t>
      </w:r>
    </w:p>
    <w:p w14:paraId="449CAB93" w14:textId="77777777" w:rsidR="00D13CF0" w:rsidRPr="00726841" w:rsidRDefault="00D13CF0" w:rsidP="009E7845">
      <w:pPr>
        <w:pStyle w:val="constitutionpara"/>
        <w:keepNext w:val="0"/>
        <w:numPr>
          <w:ilvl w:val="0"/>
          <w:numId w:val="16"/>
        </w:numPr>
        <w:ind w:left="1985"/>
        <w:jc w:val="left"/>
        <w:rPr>
          <w:rFonts w:ascii="Calibri" w:hAnsi="Calibri"/>
        </w:rPr>
      </w:pPr>
      <w:r w:rsidRPr="00726841">
        <w:rPr>
          <w:rFonts w:ascii="Calibri" w:hAnsi="Calibri"/>
        </w:rPr>
        <w:t xml:space="preserve">whether they are </w:t>
      </w:r>
      <w:r w:rsidR="00AC274F">
        <w:rPr>
          <w:rFonts w:ascii="Calibri" w:hAnsi="Calibri"/>
        </w:rPr>
        <w:t>a B</w:t>
      </w:r>
      <w:r w:rsidRPr="00726841">
        <w:rPr>
          <w:rFonts w:ascii="Calibri" w:hAnsi="Calibri"/>
        </w:rPr>
        <w:t>oard</w:t>
      </w:r>
      <w:r w:rsidR="00AC274F">
        <w:rPr>
          <w:rFonts w:ascii="Calibri" w:hAnsi="Calibri"/>
        </w:rPr>
        <w:t xml:space="preserve"> director</w:t>
      </w:r>
      <w:r w:rsidRPr="00726841">
        <w:rPr>
          <w:rFonts w:ascii="Calibri" w:hAnsi="Calibri"/>
        </w:rPr>
        <w:t>; and</w:t>
      </w:r>
    </w:p>
    <w:p w14:paraId="496EF78D" w14:textId="77777777" w:rsidR="00D13CF0" w:rsidRPr="00726841" w:rsidRDefault="00D13CF0" w:rsidP="009E7845">
      <w:pPr>
        <w:pStyle w:val="constitutionpara"/>
        <w:keepNext w:val="0"/>
        <w:numPr>
          <w:ilvl w:val="0"/>
          <w:numId w:val="18"/>
        </w:numPr>
        <w:jc w:val="left"/>
        <w:rPr>
          <w:rFonts w:ascii="Calibri" w:hAnsi="Calibri"/>
        </w:rPr>
      </w:pPr>
      <w:proofErr w:type="gramStart"/>
      <w:r w:rsidRPr="00726841">
        <w:rPr>
          <w:rFonts w:ascii="Calibri" w:hAnsi="Calibri"/>
        </w:rPr>
        <w:t>a</w:t>
      </w:r>
      <w:proofErr w:type="gramEnd"/>
      <w:r w:rsidRPr="00726841">
        <w:rPr>
          <w:rFonts w:ascii="Calibri" w:hAnsi="Calibri"/>
        </w:rPr>
        <w:t xml:space="preserve"> copy of any governance protocol adopted by the </w:t>
      </w:r>
      <w:r w:rsidR="003A1663">
        <w:rPr>
          <w:rFonts w:ascii="Calibri" w:hAnsi="Calibri"/>
        </w:rPr>
        <w:t>B</w:t>
      </w:r>
      <w:r w:rsidRPr="00726841">
        <w:rPr>
          <w:rFonts w:ascii="Calibri" w:hAnsi="Calibri"/>
        </w:rPr>
        <w:t>oard.</w:t>
      </w:r>
    </w:p>
    <w:p w14:paraId="411BAB33" w14:textId="77777777" w:rsidR="00735712" w:rsidRPr="00863FA7" w:rsidRDefault="00735712" w:rsidP="00863FA7"/>
    <w:p w14:paraId="5D83883C" w14:textId="3205D60E" w:rsidR="0087359A" w:rsidRPr="002862CA" w:rsidRDefault="001E79F7" w:rsidP="009E7845">
      <w:pPr>
        <w:numPr>
          <w:ilvl w:val="0"/>
          <w:numId w:val="5"/>
        </w:numPr>
        <w:rPr>
          <w:rFonts w:ascii="Calibri" w:hAnsi="Calibri"/>
        </w:rPr>
      </w:pPr>
      <w:r>
        <w:rPr>
          <w:rFonts w:ascii="Calibri" w:hAnsi="Calibri"/>
        </w:rPr>
        <w:br w:type="page"/>
      </w:r>
      <w:r w:rsidR="0087359A" w:rsidRPr="002862CA">
        <w:rPr>
          <w:rFonts w:ascii="Calibri" w:hAnsi="Calibri"/>
        </w:rPr>
        <w:lastRenderedPageBreak/>
        <w:t xml:space="preserve">The key dates for the submission of the </w:t>
      </w:r>
      <w:r w:rsidR="0087359A">
        <w:rPr>
          <w:rFonts w:ascii="Calibri" w:hAnsi="Calibri"/>
        </w:rPr>
        <w:t>annual return are</w:t>
      </w:r>
      <w:r w:rsidR="0087359A" w:rsidRPr="002862CA">
        <w:rPr>
          <w:rFonts w:ascii="Calibri" w:hAnsi="Calibri"/>
        </w:rPr>
        <w:t xml:space="preserve"> as follows</w:t>
      </w:r>
      <w:r w:rsidR="002D57F0">
        <w:rPr>
          <w:rFonts w:ascii="Calibri" w:hAnsi="Calibri"/>
        </w:rPr>
        <w:t xml:space="preserve"> –</w:t>
      </w:r>
    </w:p>
    <w:p w14:paraId="1A0E554B" w14:textId="77777777" w:rsidR="0087359A" w:rsidRDefault="0087359A" w:rsidP="0087359A">
      <w:pPr>
        <w:ind w:left="1080"/>
        <w:rPr>
          <w:rFonts w:ascii="Calibri" w:hAnsi="Calibr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928"/>
        <w:gridCol w:w="3544"/>
      </w:tblGrid>
      <w:tr w:rsidR="0087359A" w:rsidRPr="003B70CD" w14:paraId="4AAB5C62" w14:textId="77777777" w:rsidTr="0087359A">
        <w:trPr>
          <w:tblHeader/>
        </w:trPr>
        <w:tc>
          <w:tcPr>
            <w:tcW w:w="4928" w:type="dxa"/>
            <w:tcBorders>
              <w:right w:val="nil"/>
            </w:tcBorders>
            <w:shd w:val="clear" w:color="auto" w:fill="D9D9D9"/>
          </w:tcPr>
          <w:p w14:paraId="32EADC83" w14:textId="77777777" w:rsidR="0087359A" w:rsidRPr="00E13296" w:rsidRDefault="0087359A" w:rsidP="0087359A">
            <w:pPr>
              <w:spacing w:before="60" w:after="60"/>
              <w:rPr>
                <w:rFonts w:ascii="Calibri" w:hAnsi="Calibri" w:cs="Calibri"/>
                <w:b/>
              </w:rPr>
            </w:pPr>
            <w:r>
              <w:rPr>
                <w:rFonts w:ascii="Calibri" w:hAnsi="Calibri" w:cs="Calibri"/>
                <w:b/>
              </w:rPr>
              <w:t>Requirement</w:t>
            </w:r>
          </w:p>
        </w:tc>
        <w:tc>
          <w:tcPr>
            <w:tcW w:w="3544" w:type="dxa"/>
            <w:tcBorders>
              <w:left w:val="nil"/>
            </w:tcBorders>
            <w:shd w:val="clear" w:color="auto" w:fill="D9D9D9"/>
          </w:tcPr>
          <w:p w14:paraId="771A6541" w14:textId="77777777" w:rsidR="0087359A" w:rsidRPr="00E13296" w:rsidRDefault="0087359A" w:rsidP="0087359A">
            <w:pPr>
              <w:spacing w:before="60" w:after="60"/>
              <w:rPr>
                <w:rFonts w:ascii="Calibri" w:hAnsi="Calibri" w:cs="Calibri"/>
                <w:b/>
              </w:rPr>
            </w:pPr>
            <w:r>
              <w:rPr>
                <w:rFonts w:ascii="Calibri" w:hAnsi="Calibri" w:cs="Calibri"/>
                <w:b/>
              </w:rPr>
              <w:t>Due date</w:t>
            </w:r>
          </w:p>
        </w:tc>
      </w:tr>
      <w:tr w:rsidR="0087359A" w:rsidRPr="003B70CD" w14:paraId="1F4E05B2" w14:textId="77777777" w:rsidTr="0087359A">
        <w:tc>
          <w:tcPr>
            <w:tcW w:w="4928" w:type="dxa"/>
            <w:tcBorders>
              <w:right w:val="nil"/>
            </w:tcBorders>
          </w:tcPr>
          <w:p w14:paraId="2B03F97D" w14:textId="77777777" w:rsidR="0087359A" w:rsidRDefault="0087359A" w:rsidP="0087359A">
            <w:pPr>
              <w:spacing w:before="60" w:after="60"/>
              <w:rPr>
                <w:rFonts w:ascii="Calibri" w:hAnsi="Calibri" w:cs="Calibri"/>
              </w:rPr>
            </w:pPr>
            <w:r>
              <w:rPr>
                <w:rFonts w:ascii="Calibri" w:hAnsi="Calibri" w:cs="Calibri"/>
              </w:rPr>
              <w:t>Annual return submitted</w:t>
            </w:r>
          </w:p>
        </w:tc>
        <w:tc>
          <w:tcPr>
            <w:tcW w:w="3544" w:type="dxa"/>
            <w:tcBorders>
              <w:left w:val="nil"/>
            </w:tcBorders>
          </w:tcPr>
          <w:p w14:paraId="5286FABD" w14:textId="77777777" w:rsidR="0087359A" w:rsidRDefault="0087359A" w:rsidP="00D15DB7">
            <w:pPr>
              <w:spacing w:before="60" w:after="60"/>
              <w:rPr>
                <w:rFonts w:ascii="Calibri" w:hAnsi="Calibri" w:cs="Calibri"/>
              </w:rPr>
            </w:pPr>
            <w:r>
              <w:rPr>
                <w:rFonts w:ascii="Calibri" w:hAnsi="Calibri" w:cs="Calibri"/>
              </w:rPr>
              <w:t xml:space="preserve">Last business day in </w:t>
            </w:r>
            <w:r w:rsidR="00D15DB7">
              <w:rPr>
                <w:rFonts w:ascii="Calibri" w:hAnsi="Calibri" w:cs="Calibri"/>
              </w:rPr>
              <w:t>February</w:t>
            </w:r>
          </w:p>
        </w:tc>
      </w:tr>
    </w:tbl>
    <w:p w14:paraId="0F3D39C3" w14:textId="77777777" w:rsidR="0013414F" w:rsidRDefault="0013414F" w:rsidP="00EE1353">
      <w:pPr>
        <w:rPr>
          <w:rFonts w:ascii="Calibri" w:hAnsi="Calibri"/>
        </w:rPr>
      </w:pPr>
    </w:p>
    <w:p w14:paraId="3ADD94E1" w14:textId="3CC8A157" w:rsidR="009E7845" w:rsidRDefault="0018364D" w:rsidP="009E7845">
      <w:pPr>
        <w:pStyle w:val="Heading3"/>
        <w:rPr>
          <w:rFonts w:ascii="Calibri" w:hAnsi="Calibri"/>
        </w:rPr>
      </w:pPr>
      <w:bookmarkStart w:id="47" w:name="_Toc343609461"/>
      <w:r>
        <w:rPr>
          <w:rFonts w:ascii="Calibri" w:hAnsi="Calibri"/>
        </w:rPr>
        <w:br w:type="page"/>
      </w:r>
      <w:bookmarkStart w:id="48" w:name="_Toc353436451"/>
      <w:r w:rsidR="009E7845" w:rsidRPr="008A2346">
        <w:rPr>
          <w:rFonts w:ascii="Calibri" w:hAnsi="Calibri"/>
        </w:rPr>
        <w:lastRenderedPageBreak/>
        <w:t xml:space="preserve">Guideline </w:t>
      </w:r>
      <w:r w:rsidR="00463E85">
        <w:rPr>
          <w:rFonts w:ascii="Calibri" w:hAnsi="Calibri"/>
        </w:rPr>
        <w:t>9</w:t>
      </w:r>
      <w:r w:rsidR="009E7845" w:rsidRPr="008A2346">
        <w:rPr>
          <w:rFonts w:ascii="Calibri" w:hAnsi="Calibri"/>
        </w:rPr>
        <w:t xml:space="preserve"> –</w:t>
      </w:r>
      <w:r w:rsidR="009E7845">
        <w:rPr>
          <w:rFonts w:ascii="Calibri" w:hAnsi="Calibri"/>
        </w:rPr>
        <w:t xml:space="preserve"> Compliance plan</w:t>
      </w:r>
      <w:bookmarkEnd w:id="47"/>
      <w:bookmarkEnd w:id="48"/>
    </w:p>
    <w:p w14:paraId="61A54790" w14:textId="24F1AC5B" w:rsidR="00EF0ADC" w:rsidRDefault="00EF0ADC" w:rsidP="00EF0ADC">
      <w:pPr>
        <w:numPr>
          <w:ilvl w:val="0"/>
          <w:numId w:val="5"/>
        </w:numPr>
        <w:rPr>
          <w:rFonts w:ascii="Calibri" w:hAnsi="Calibri"/>
        </w:rPr>
      </w:pPr>
      <w:r w:rsidRPr="00EF0ADC">
        <w:rPr>
          <w:rFonts w:ascii="Calibri" w:hAnsi="Calibri"/>
        </w:rPr>
        <w:t xml:space="preserve">The </w:t>
      </w:r>
      <w:r w:rsidR="005775C4">
        <w:rPr>
          <w:rFonts w:ascii="Calibri" w:hAnsi="Calibri"/>
        </w:rPr>
        <w:t>B</w:t>
      </w:r>
      <w:r w:rsidRPr="00EF0ADC">
        <w:rPr>
          <w:rFonts w:ascii="Calibri" w:hAnsi="Calibri"/>
        </w:rPr>
        <w:t>oard must prepare and keep up to date a compliance plan,</w:t>
      </w:r>
      <w:r w:rsidR="001E79F7">
        <w:rPr>
          <w:rFonts w:ascii="Calibri" w:hAnsi="Calibri"/>
        </w:rPr>
        <w:t xml:space="preserve"> and</w:t>
      </w:r>
      <w:r w:rsidRPr="00EF0ADC">
        <w:rPr>
          <w:rFonts w:ascii="Calibri" w:hAnsi="Calibri"/>
        </w:rPr>
        <w:t xml:space="preserve"> set out adequate measures that the </w:t>
      </w:r>
      <w:r w:rsidR="005775C4">
        <w:rPr>
          <w:rFonts w:ascii="Calibri" w:hAnsi="Calibri"/>
        </w:rPr>
        <w:t>B</w:t>
      </w:r>
      <w:r w:rsidRPr="00EF0ADC">
        <w:rPr>
          <w:rFonts w:ascii="Calibri" w:hAnsi="Calibri"/>
        </w:rPr>
        <w:t>oard is to apply to ensure compliance with</w:t>
      </w:r>
      <w:r w:rsidR="002D57F0">
        <w:rPr>
          <w:rFonts w:ascii="Calibri" w:hAnsi="Calibri"/>
        </w:rPr>
        <w:t xml:space="preserve"> –</w:t>
      </w:r>
    </w:p>
    <w:p w14:paraId="1CB758A0" w14:textId="77777777" w:rsidR="00514E28" w:rsidRPr="00EF0ADC" w:rsidRDefault="00514E28" w:rsidP="00514E28">
      <w:pPr>
        <w:ind w:left="720"/>
        <w:rPr>
          <w:rFonts w:ascii="Calibri" w:hAnsi="Calibri"/>
        </w:rPr>
      </w:pPr>
    </w:p>
    <w:p w14:paraId="40CFA886" w14:textId="77777777" w:rsidR="00EF0ADC" w:rsidRDefault="00EF0ADC" w:rsidP="00514E28">
      <w:pPr>
        <w:numPr>
          <w:ilvl w:val="0"/>
          <w:numId w:val="19"/>
        </w:numPr>
        <w:ind w:hanging="490"/>
        <w:rPr>
          <w:rFonts w:ascii="Calibri" w:hAnsi="Calibri"/>
        </w:rPr>
      </w:pPr>
      <w:r w:rsidRPr="00514E28">
        <w:rPr>
          <w:rFonts w:ascii="Calibri" w:hAnsi="Calibri"/>
        </w:rPr>
        <w:t>the Act; and</w:t>
      </w:r>
    </w:p>
    <w:p w14:paraId="7980F192" w14:textId="77777777" w:rsidR="00514E28" w:rsidRPr="00514E28" w:rsidRDefault="00514E28" w:rsidP="00514E28">
      <w:pPr>
        <w:ind w:left="1199"/>
        <w:rPr>
          <w:rFonts w:ascii="Calibri" w:hAnsi="Calibri"/>
        </w:rPr>
      </w:pPr>
    </w:p>
    <w:p w14:paraId="62C06686" w14:textId="77777777" w:rsidR="00EF0ADC" w:rsidRDefault="005775C4" w:rsidP="00514E28">
      <w:pPr>
        <w:numPr>
          <w:ilvl w:val="0"/>
          <w:numId w:val="19"/>
        </w:numPr>
        <w:ind w:hanging="490"/>
        <w:rPr>
          <w:rFonts w:ascii="Calibri" w:hAnsi="Calibri"/>
        </w:rPr>
      </w:pPr>
      <w:r w:rsidRPr="006F2BAB">
        <w:rPr>
          <w:rFonts w:ascii="Calibri" w:hAnsi="Calibri"/>
        </w:rPr>
        <w:t>Ministerial and Government directions and guidelines under the Act and other legislation, laws and conventions; and</w:t>
      </w:r>
    </w:p>
    <w:p w14:paraId="0A29FF85" w14:textId="77777777" w:rsidR="00514E28" w:rsidRPr="00514E28" w:rsidRDefault="00514E28" w:rsidP="00514E28">
      <w:pPr>
        <w:rPr>
          <w:rFonts w:ascii="Calibri" w:hAnsi="Calibri"/>
        </w:rPr>
      </w:pPr>
    </w:p>
    <w:p w14:paraId="083C46D2" w14:textId="77777777" w:rsidR="00EF0ADC" w:rsidRDefault="00EF0ADC" w:rsidP="00514E28">
      <w:pPr>
        <w:numPr>
          <w:ilvl w:val="0"/>
          <w:numId w:val="19"/>
        </w:numPr>
        <w:ind w:hanging="490"/>
        <w:rPr>
          <w:rFonts w:ascii="Calibri" w:hAnsi="Calibri"/>
        </w:rPr>
      </w:pPr>
      <w:proofErr w:type="gramStart"/>
      <w:r w:rsidRPr="00514E28">
        <w:rPr>
          <w:rFonts w:ascii="Calibri" w:hAnsi="Calibri"/>
        </w:rPr>
        <w:t>any</w:t>
      </w:r>
      <w:proofErr w:type="gramEnd"/>
      <w:r w:rsidRPr="00514E28">
        <w:rPr>
          <w:rFonts w:ascii="Calibri" w:hAnsi="Calibri"/>
        </w:rPr>
        <w:t xml:space="preserve"> other matters which the Minister directs must be included in </w:t>
      </w:r>
      <w:r w:rsidR="00324B47">
        <w:rPr>
          <w:rFonts w:ascii="Calibri" w:hAnsi="Calibri"/>
        </w:rPr>
        <w:t>the</w:t>
      </w:r>
      <w:r w:rsidRPr="00514E28">
        <w:rPr>
          <w:rFonts w:ascii="Calibri" w:hAnsi="Calibri"/>
        </w:rPr>
        <w:t xml:space="preserve"> compliance plan.</w:t>
      </w:r>
    </w:p>
    <w:p w14:paraId="0B758DEE" w14:textId="77777777" w:rsidR="006F2BAB" w:rsidRPr="00514E28" w:rsidRDefault="006F2BAB" w:rsidP="006F2BAB">
      <w:pPr>
        <w:rPr>
          <w:rFonts w:ascii="Calibri" w:hAnsi="Calibri"/>
        </w:rPr>
      </w:pPr>
    </w:p>
    <w:p w14:paraId="78E3E006" w14:textId="77E252E1" w:rsidR="00553C1C" w:rsidRDefault="0018364D" w:rsidP="00553C1C">
      <w:pPr>
        <w:pStyle w:val="Heading3"/>
        <w:rPr>
          <w:rFonts w:ascii="Calibri" w:hAnsi="Calibri"/>
        </w:rPr>
      </w:pPr>
      <w:bookmarkStart w:id="49" w:name="_Toc343609462"/>
      <w:r>
        <w:rPr>
          <w:rFonts w:ascii="Calibri" w:hAnsi="Calibri"/>
        </w:rPr>
        <w:br w:type="page"/>
      </w:r>
      <w:bookmarkStart w:id="50" w:name="_Toc353436452"/>
      <w:r w:rsidR="00553C1C" w:rsidRPr="008A2346">
        <w:rPr>
          <w:rFonts w:ascii="Calibri" w:hAnsi="Calibri"/>
        </w:rPr>
        <w:lastRenderedPageBreak/>
        <w:t xml:space="preserve">Guideline </w:t>
      </w:r>
      <w:r w:rsidR="00463E85">
        <w:rPr>
          <w:rFonts w:ascii="Calibri" w:hAnsi="Calibri"/>
        </w:rPr>
        <w:t>10</w:t>
      </w:r>
      <w:r w:rsidR="00553C1C" w:rsidRPr="008A2346">
        <w:rPr>
          <w:rFonts w:ascii="Calibri" w:hAnsi="Calibri"/>
        </w:rPr>
        <w:t xml:space="preserve"> –</w:t>
      </w:r>
      <w:r w:rsidR="00553C1C">
        <w:rPr>
          <w:rFonts w:ascii="Calibri" w:hAnsi="Calibri"/>
        </w:rPr>
        <w:t xml:space="preserve"> Asset management plan</w:t>
      </w:r>
      <w:bookmarkEnd w:id="49"/>
      <w:bookmarkEnd w:id="50"/>
    </w:p>
    <w:p w14:paraId="59163359" w14:textId="77777777" w:rsidR="00FB3F81" w:rsidRPr="00324B47" w:rsidRDefault="00553C1C" w:rsidP="00553C1C">
      <w:pPr>
        <w:numPr>
          <w:ilvl w:val="0"/>
          <w:numId w:val="5"/>
        </w:numPr>
      </w:pPr>
      <w:r w:rsidRPr="00FB3F81">
        <w:rPr>
          <w:rFonts w:ascii="Calibri" w:hAnsi="Calibri"/>
        </w:rPr>
        <w:t xml:space="preserve">The Board must prepare and keep up to date an asset management plan, and set out adequate measures that the </w:t>
      </w:r>
      <w:r w:rsidR="00F72074">
        <w:rPr>
          <w:rFonts w:ascii="Calibri" w:hAnsi="Calibri"/>
        </w:rPr>
        <w:t>B</w:t>
      </w:r>
      <w:r w:rsidRPr="00FB3F81">
        <w:rPr>
          <w:rFonts w:ascii="Calibri" w:hAnsi="Calibri"/>
        </w:rPr>
        <w:t>oard is to apply to ensure compliance with</w:t>
      </w:r>
      <w:r w:rsidR="002D57F0">
        <w:rPr>
          <w:rFonts w:ascii="Calibri" w:hAnsi="Calibri"/>
        </w:rPr>
        <w:t xml:space="preserve"> –</w:t>
      </w:r>
    </w:p>
    <w:p w14:paraId="43BCD032" w14:textId="77777777" w:rsidR="00324B47" w:rsidRPr="00FB3F81" w:rsidRDefault="00324B47" w:rsidP="00324B47">
      <w:pPr>
        <w:ind w:left="720"/>
      </w:pPr>
    </w:p>
    <w:p w14:paraId="3D8BF976" w14:textId="77777777" w:rsidR="00FB3F81" w:rsidRDefault="00FB3F81" w:rsidP="008352C4">
      <w:pPr>
        <w:numPr>
          <w:ilvl w:val="0"/>
          <w:numId w:val="21"/>
        </w:numPr>
        <w:ind w:hanging="490"/>
        <w:rPr>
          <w:rFonts w:ascii="Calibri" w:hAnsi="Calibri"/>
        </w:rPr>
      </w:pPr>
      <w:r w:rsidRPr="00514E28">
        <w:rPr>
          <w:rFonts w:ascii="Calibri" w:hAnsi="Calibri"/>
        </w:rPr>
        <w:t>the Act; and</w:t>
      </w:r>
    </w:p>
    <w:p w14:paraId="3DEE01E7" w14:textId="77777777" w:rsidR="00FB3F81" w:rsidRPr="00514E28" w:rsidRDefault="00FB3F81" w:rsidP="00FB3F81">
      <w:pPr>
        <w:ind w:left="1199"/>
        <w:rPr>
          <w:rFonts w:ascii="Calibri" w:hAnsi="Calibri"/>
        </w:rPr>
      </w:pPr>
    </w:p>
    <w:p w14:paraId="6ECBD32E" w14:textId="77777777" w:rsidR="00324B47" w:rsidRDefault="00FB3F81" w:rsidP="008352C4">
      <w:pPr>
        <w:numPr>
          <w:ilvl w:val="0"/>
          <w:numId w:val="21"/>
        </w:numPr>
        <w:ind w:hanging="490"/>
        <w:rPr>
          <w:rFonts w:ascii="Calibri" w:hAnsi="Calibri"/>
        </w:rPr>
      </w:pPr>
      <w:r w:rsidRPr="00324B47">
        <w:rPr>
          <w:rFonts w:ascii="Calibri" w:hAnsi="Calibri"/>
        </w:rPr>
        <w:t>Ministerial and Government directions and guidelines under the Act and other legislation, laws and conventions; and</w:t>
      </w:r>
    </w:p>
    <w:p w14:paraId="1C718ADE" w14:textId="77777777" w:rsidR="00324B47" w:rsidRDefault="00324B47" w:rsidP="00324B47">
      <w:pPr>
        <w:pStyle w:val="ListParagraph"/>
        <w:rPr>
          <w:rFonts w:ascii="Calibri" w:hAnsi="Calibri"/>
        </w:rPr>
      </w:pPr>
    </w:p>
    <w:p w14:paraId="4AE92391" w14:textId="77777777" w:rsidR="00FB3F81" w:rsidRPr="00324B47" w:rsidRDefault="00FB3F81" w:rsidP="008352C4">
      <w:pPr>
        <w:numPr>
          <w:ilvl w:val="0"/>
          <w:numId w:val="21"/>
        </w:numPr>
        <w:ind w:hanging="490"/>
        <w:rPr>
          <w:rFonts w:ascii="Calibri" w:hAnsi="Calibri"/>
        </w:rPr>
      </w:pPr>
      <w:proofErr w:type="gramStart"/>
      <w:r w:rsidRPr="00324B47">
        <w:rPr>
          <w:rFonts w:ascii="Calibri" w:hAnsi="Calibri"/>
        </w:rPr>
        <w:t>any</w:t>
      </w:r>
      <w:proofErr w:type="gramEnd"/>
      <w:r w:rsidRPr="00324B47">
        <w:rPr>
          <w:rFonts w:ascii="Calibri" w:hAnsi="Calibri"/>
        </w:rPr>
        <w:t xml:space="preserve"> other matters which the Minister directs must be included in </w:t>
      </w:r>
      <w:r w:rsidR="00324B47">
        <w:rPr>
          <w:rFonts w:ascii="Calibri" w:hAnsi="Calibri"/>
        </w:rPr>
        <w:t xml:space="preserve">the </w:t>
      </w:r>
      <w:r w:rsidRPr="00324B47">
        <w:rPr>
          <w:rFonts w:ascii="Calibri" w:hAnsi="Calibri"/>
        </w:rPr>
        <w:t>asset management plan</w:t>
      </w:r>
      <w:r w:rsidR="00CE003E">
        <w:rPr>
          <w:rFonts w:ascii="Calibri" w:hAnsi="Calibri"/>
        </w:rPr>
        <w:t>.</w:t>
      </w:r>
    </w:p>
    <w:p w14:paraId="6D063F00" w14:textId="77777777" w:rsidR="00FB3F81" w:rsidRDefault="00FB3F81" w:rsidP="00FB3F81">
      <w:pPr>
        <w:ind w:left="720"/>
        <w:rPr>
          <w:rFonts w:ascii="Calibri" w:hAnsi="Calibri"/>
        </w:rPr>
      </w:pPr>
    </w:p>
    <w:p w14:paraId="23ABCE39" w14:textId="77777777" w:rsidR="00553C1C" w:rsidRDefault="00553C1C" w:rsidP="00911000">
      <w:pPr>
        <w:numPr>
          <w:ilvl w:val="0"/>
          <w:numId w:val="5"/>
        </w:numPr>
        <w:rPr>
          <w:rFonts w:ascii="Calibri" w:hAnsi="Calibri"/>
        </w:rPr>
      </w:pPr>
      <w:bookmarkStart w:id="51" w:name="_Ref343608963"/>
      <w:r w:rsidRPr="00911000">
        <w:rPr>
          <w:rFonts w:ascii="Calibri" w:hAnsi="Calibri"/>
        </w:rPr>
        <w:t>A copy of the asset management plan must be provided to the Deputy Secretary on request.</w:t>
      </w:r>
      <w:bookmarkEnd w:id="51"/>
    </w:p>
    <w:p w14:paraId="111337DA" w14:textId="77777777" w:rsidR="00911000" w:rsidRPr="00911000" w:rsidRDefault="00911000" w:rsidP="00911000">
      <w:pPr>
        <w:ind w:left="720"/>
        <w:rPr>
          <w:rFonts w:ascii="Calibri" w:hAnsi="Calibri"/>
        </w:rPr>
      </w:pPr>
    </w:p>
    <w:p w14:paraId="29526330" w14:textId="77777777" w:rsidR="002D2DF3" w:rsidRDefault="00553C1C" w:rsidP="002D2DF3">
      <w:pPr>
        <w:numPr>
          <w:ilvl w:val="0"/>
          <w:numId w:val="5"/>
        </w:numPr>
        <w:rPr>
          <w:rFonts w:ascii="Calibri" w:hAnsi="Calibri"/>
        </w:rPr>
      </w:pPr>
      <w:r w:rsidRPr="002D57F0">
        <w:rPr>
          <w:rFonts w:ascii="Calibri" w:hAnsi="Calibri"/>
        </w:rPr>
        <w:t>The board secretary must</w:t>
      </w:r>
      <w:r w:rsidR="002D57F0">
        <w:rPr>
          <w:rFonts w:ascii="Calibri" w:hAnsi="Calibri"/>
        </w:rPr>
        <w:t xml:space="preserve"> –</w:t>
      </w:r>
    </w:p>
    <w:p w14:paraId="58B3FCBB" w14:textId="77777777" w:rsidR="00F72074" w:rsidRPr="002D57F0" w:rsidRDefault="00F72074" w:rsidP="00F72074">
      <w:pPr>
        <w:rPr>
          <w:rFonts w:ascii="Calibri" w:hAnsi="Calibri"/>
        </w:rPr>
      </w:pPr>
    </w:p>
    <w:p w14:paraId="0BF3790A" w14:textId="77777777" w:rsidR="00553C1C" w:rsidRDefault="004B233F" w:rsidP="008352C4">
      <w:pPr>
        <w:numPr>
          <w:ilvl w:val="0"/>
          <w:numId w:val="22"/>
        </w:numPr>
        <w:ind w:hanging="490"/>
        <w:rPr>
          <w:rFonts w:ascii="Calibri" w:hAnsi="Calibri"/>
        </w:rPr>
      </w:pPr>
      <w:r>
        <w:rPr>
          <w:rFonts w:ascii="Calibri" w:hAnsi="Calibri"/>
        </w:rPr>
        <w:t xml:space="preserve">ensure that </w:t>
      </w:r>
      <w:r w:rsidR="00553C1C" w:rsidRPr="00911000">
        <w:rPr>
          <w:rFonts w:ascii="Calibri" w:hAnsi="Calibri"/>
        </w:rPr>
        <w:t xml:space="preserve">the original asset management plan </w:t>
      </w:r>
      <w:r w:rsidR="00535FFD">
        <w:rPr>
          <w:rFonts w:ascii="Calibri" w:hAnsi="Calibri"/>
        </w:rPr>
        <w:t xml:space="preserve">is </w:t>
      </w:r>
      <w:r w:rsidR="00553C1C" w:rsidRPr="00911000">
        <w:rPr>
          <w:rFonts w:ascii="Calibri" w:hAnsi="Calibri"/>
        </w:rPr>
        <w:t xml:space="preserve">up to date, incorporating any amendments made by the </w:t>
      </w:r>
      <w:r w:rsidR="00B7679B">
        <w:rPr>
          <w:rFonts w:ascii="Calibri" w:hAnsi="Calibri"/>
        </w:rPr>
        <w:t>B</w:t>
      </w:r>
      <w:r w:rsidR="00553C1C" w:rsidRPr="00911000">
        <w:rPr>
          <w:rFonts w:ascii="Calibri" w:hAnsi="Calibri"/>
        </w:rPr>
        <w:t xml:space="preserve">oard; and </w:t>
      </w:r>
    </w:p>
    <w:p w14:paraId="167725B7" w14:textId="77777777" w:rsidR="002D2DF3" w:rsidRPr="00911000" w:rsidRDefault="002D2DF3" w:rsidP="002D2DF3">
      <w:pPr>
        <w:ind w:left="1199"/>
        <w:rPr>
          <w:rFonts w:ascii="Calibri" w:hAnsi="Calibri"/>
        </w:rPr>
      </w:pPr>
    </w:p>
    <w:p w14:paraId="73EE8FFB" w14:textId="77777777" w:rsidR="00553C1C" w:rsidRPr="00911000" w:rsidRDefault="00553C1C" w:rsidP="008352C4">
      <w:pPr>
        <w:numPr>
          <w:ilvl w:val="0"/>
          <w:numId w:val="22"/>
        </w:numPr>
        <w:ind w:hanging="490"/>
        <w:rPr>
          <w:rFonts w:ascii="Calibri" w:hAnsi="Calibri"/>
        </w:rPr>
      </w:pPr>
      <w:proofErr w:type="gramStart"/>
      <w:r w:rsidRPr="00911000">
        <w:rPr>
          <w:rFonts w:ascii="Calibri" w:hAnsi="Calibri"/>
        </w:rPr>
        <w:t>ensure</w:t>
      </w:r>
      <w:proofErr w:type="gramEnd"/>
      <w:r w:rsidRPr="00911000">
        <w:rPr>
          <w:rFonts w:ascii="Calibri" w:hAnsi="Calibri"/>
        </w:rPr>
        <w:t xml:space="preserve"> that the asset management plan, and any amendments to or remaking of the asset management plan, </w:t>
      </w:r>
      <w:r w:rsidR="00B7679B">
        <w:rPr>
          <w:rFonts w:ascii="Calibri" w:hAnsi="Calibri"/>
        </w:rPr>
        <w:t xml:space="preserve">is </w:t>
      </w:r>
      <w:r w:rsidRPr="00911000">
        <w:rPr>
          <w:rFonts w:ascii="Calibri" w:hAnsi="Calibri"/>
        </w:rPr>
        <w:t xml:space="preserve">provided to the Deputy Secretary in accordance with </w:t>
      </w:r>
      <w:r w:rsidR="00CE003E">
        <w:rPr>
          <w:rFonts w:ascii="Calibri" w:hAnsi="Calibri"/>
        </w:rPr>
        <w:t xml:space="preserve">paragraph </w:t>
      </w:r>
      <w:r w:rsidR="00CE003E">
        <w:rPr>
          <w:rFonts w:ascii="Calibri" w:hAnsi="Calibri"/>
        </w:rPr>
        <w:fldChar w:fldCharType="begin"/>
      </w:r>
      <w:r w:rsidR="00CE003E">
        <w:rPr>
          <w:rFonts w:ascii="Calibri" w:hAnsi="Calibri"/>
        </w:rPr>
        <w:instrText xml:space="preserve"> REF _Ref343608963 \r \h </w:instrText>
      </w:r>
      <w:r w:rsidR="00CE003E">
        <w:rPr>
          <w:rFonts w:ascii="Calibri" w:hAnsi="Calibri"/>
        </w:rPr>
      </w:r>
      <w:r w:rsidR="00CE003E">
        <w:rPr>
          <w:rFonts w:ascii="Calibri" w:hAnsi="Calibri"/>
        </w:rPr>
        <w:fldChar w:fldCharType="separate"/>
      </w:r>
      <w:r w:rsidR="00E21297">
        <w:rPr>
          <w:rFonts w:ascii="Calibri" w:hAnsi="Calibri"/>
        </w:rPr>
        <w:t>45</w:t>
      </w:r>
      <w:r w:rsidR="00CE003E">
        <w:rPr>
          <w:rFonts w:ascii="Calibri" w:hAnsi="Calibri"/>
        </w:rPr>
        <w:fldChar w:fldCharType="end"/>
      </w:r>
      <w:r w:rsidR="00CE003E">
        <w:rPr>
          <w:rFonts w:ascii="Calibri" w:hAnsi="Calibri"/>
        </w:rPr>
        <w:t>.</w:t>
      </w:r>
    </w:p>
    <w:p w14:paraId="22167A5C" w14:textId="77777777" w:rsidR="00553C1C" w:rsidRDefault="00553C1C" w:rsidP="00553C1C">
      <w:pPr>
        <w:rPr>
          <w:rFonts w:ascii="Calibri" w:hAnsi="Calibri"/>
        </w:rPr>
      </w:pPr>
    </w:p>
    <w:p w14:paraId="26D2B829" w14:textId="77777777" w:rsidR="00B87ED2" w:rsidRDefault="00B87ED2" w:rsidP="00553C1C">
      <w:pPr>
        <w:rPr>
          <w:rFonts w:ascii="Calibri" w:hAnsi="Calibri"/>
        </w:rPr>
      </w:pPr>
    </w:p>
    <w:p w14:paraId="14CC217A" w14:textId="72D4492C" w:rsidR="00B87ED2" w:rsidRDefault="00B87ED2" w:rsidP="00B87ED2">
      <w:pPr>
        <w:pBdr>
          <w:top w:val="single" w:sz="4" w:space="1" w:color="auto"/>
        </w:pBdr>
        <w:rPr>
          <w:rFonts w:ascii="Calibri" w:hAnsi="Calibri"/>
        </w:rPr>
      </w:pPr>
      <w:r>
        <w:rPr>
          <w:rFonts w:ascii="Calibri" w:hAnsi="Calibri"/>
        </w:rPr>
        <w:t>As signed by me on this 17</w:t>
      </w:r>
      <w:r w:rsidRPr="00B87ED2">
        <w:rPr>
          <w:rFonts w:ascii="Calibri" w:hAnsi="Calibri"/>
          <w:vertAlign w:val="superscript"/>
        </w:rPr>
        <w:t>th</w:t>
      </w:r>
      <w:r>
        <w:rPr>
          <w:rFonts w:ascii="Calibri" w:hAnsi="Calibri"/>
        </w:rPr>
        <w:t xml:space="preserve"> day of April 2013:</w:t>
      </w:r>
    </w:p>
    <w:p w14:paraId="37207278" w14:textId="77777777" w:rsidR="00B87ED2" w:rsidRDefault="00B87ED2" w:rsidP="00B87ED2">
      <w:pPr>
        <w:pBdr>
          <w:top w:val="single" w:sz="4" w:space="1" w:color="auto"/>
        </w:pBdr>
        <w:rPr>
          <w:rFonts w:ascii="Calibri" w:hAnsi="Calibri"/>
        </w:rPr>
      </w:pPr>
    </w:p>
    <w:p w14:paraId="5508062F" w14:textId="77777777" w:rsidR="00B87ED2" w:rsidRDefault="00B87ED2" w:rsidP="00B87ED2">
      <w:pPr>
        <w:pBdr>
          <w:top w:val="single" w:sz="4" w:space="1" w:color="auto"/>
        </w:pBdr>
        <w:rPr>
          <w:rFonts w:ascii="Calibri" w:hAnsi="Calibri"/>
        </w:rPr>
      </w:pPr>
    </w:p>
    <w:p w14:paraId="2FE213D0" w14:textId="77777777" w:rsidR="00B87ED2" w:rsidRDefault="00B87ED2" w:rsidP="00B87ED2">
      <w:pPr>
        <w:pBdr>
          <w:top w:val="single" w:sz="4" w:space="1" w:color="auto"/>
        </w:pBdr>
        <w:rPr>
          <w:rFonts w:ascii="Calibri" w:hAnsi="Calibri"/>
        </w:rPr>
      </w:pPr>
    </w:p>
    <w:p w14:paraId="0F1EEB22" w14:textId="77777777" w:rsidR="00B87ED2" w:rsidRDefault="00B87ED2" w:rsidP="00B87ED2">
      <w:pPr>
        <w:pBdr>
          <w:top w:val="single" w:sz="4" w:space="1" w:color="auto"/>
        </w:pBdr>
        <w:rPr>
          <w:rFonts w:ascii="Calibri" w:hAnsi="Calibri"/>
        </w:rPr>
      </w:pPr>
    </w:p>
    <w:p w14:paraId="302F1F4A" w14:textId="3F4BFE2A" w:rsidR="00B87ED2" w:rsidRDefault="00B87ED2" w:rsidP="00B87ED2">
      <w:pPr>
        <w:pBdr>
          <w:top w:val="single" w:sz="4" w:space="1" w:color="auto"/>
        </w:pBdr>
        <w:rPr>
          <w:rFonts w:ascii="Calibri" w:hAnsi="Calibri"/>
          <w:b/>
        </w:rPr>
      </w:pPr>
      <w:r>
        <w:rPr>
          <w:rFonts w:ascii="Calibri" w:hAnsi="Calibri"/>
          <w:b/>
        </w:rPr>
        <w:t>The Hon. Peter Hall, MLC</w:t>
      </w:r>
    </w:p>
    <w:p w14:paraId="1AD02C9B" w14:textId="61627283" w:rsidR="00B87ED2" w:rsidRPr="00B87ED2" w:rsidRDefault="00B87ED2" w:rsidP="00B87ED2">
      <w:pPr>
        <w:pBdr>
          <w:top w:val="single" w:sz="4" w:space="1" w:color="auto"/>
        </w:pBdr>
        <w:rPr>
          <w:rFonts w:ascii="Calibri" w:hAnsi="Calibri"/>
          <w:b/>
        </w:rPr>
      </w:pPr>
      <w:r>
        <w:rPr>
          <w:rFonts w:ascii="Calibri" w:hAnsi="Calibri"/>
          <w:b/>
        </w:rPr>
        <w:t xml:space="preserve">Minister for Higher Education and Skills </w:t>
      </w:r>
    </w:p>
    <w:sectPr w:rsidR="00B87ED2" w:rsidRPr="00B87ED2" w:rsidSect="006F5880">
      <w:footerReference w:type="default" r:id="rId16"/>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0CD5F" w14:textId="77777777" w:rsidR="003A2A0A" w:rsidRDefault="003A2A0A">
      <w:r>
        <w:separator/>
      </w:r>
    </w:p>
  </w:endnote>
  <w:endnote w:type="continuationSeparator" w:id="0">
    <w:p w14:paraId="6DA7A93D" w14:textId="77777777" w:rsidR="003A2A0A" w:rsidRDefault="003A2A0A">
      <w:r>
        <w:continuationSeparator/>
      </w:r>
    </w:p>
  </w:endnote>
  <w:endnote w:type="continuationNotice" w:id="1">
    <w:p w14:paraId="325F6C89" w14:textId="77777777" w:rsidR="003A2A0A" w:rsidRDefault="003A2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265CC" w14:textId="77777777" w:rsidR="003A2A0A" w:rsidRDefault="003A2A0A" w:rsidP="004226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282F3B" w14:textId="77777777" w:rsidR="003A2A0A" w:rsidRDefault="003A2A0A" w:rsidP="004C3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C9BFE" w14:textId="45BDD7B8" w:rsidR="003A2A0A" w:rsidRPr="008F683B" w:rsidRDefault="003A2A0A" w:rsidP="004C3ABF">
    <w:pPr>
      <w:pStyle w:val="Footer"/>
      <w:ind w:right="360"/>
      <w:rPr>
        <w:rFonts w:ascii="Calibri" w:hAnsi="Calibri"/>
        <w:sz w:val="20"/>
        <w:szCs w:val="20"/>
      </w:rPr>
    </w:pPr>
    <w:r>
      <w:rPr>
        <w:rStyle w:val="PageNumber"/>
      </w:rPr>
      <w:tab/>
    </w:r>
    <w:r>
      <w:rPr>
        <w:rStyle w:val="PageNumber"/>
      </w:rPr>
      <w:tab/>
    </w:r>
    <w:r w:rsidRPr="008F683B">
      <w:rPr>
        <w:rStyle w:val="PageNumber"/>
        <w:rFonts w:ascii="Calibri" w:hAnsi="Calibri"/>
        <w:sz w:val="20"/>
        <w:szCs w:val="20"/>
      </w:rPr>
      <w:fldChar w:fldCharType="begin"/>
    </w:r>
    <w:r w:rsidRPr="008F683B">
      <w:rPr>
        <w:rStyle w:val="PageNumber"/>
        <w:rFonts w:ascii="Calibri" w:hAnsi="Calibri"/>
        <w:sz w:val="20"/>
        <w:szCs w:val="20"/>
      </w:rPr>
      <w:instrText xml:space="preserve"> PAGE </w:instrText>
    </w:r>
    <w:r w:rsidRPr="008F683B">
      <w:rPr>
        <w:rStyle w:val="PageNumber"/>
        <w:rFonts w:ascii="Calibri" w:hAnsi="Calibri"/>
        <w:sz w:val="20"/>
        <w:szCs w:val="20"/>
      </w:rPr>
      <w:fldChar w:fldCharType="separate"/>
    </w:r>
    <w:r w:rsidR="00C71EEB">
      <w:rPr>
        <w:rStyle w:val="PageNumber"/>
        <w:rFonts w:ascii="Calibri" w:hAnsi="Calibri"/>
        <w:noProof/>
        <w:sz w:val="20"/>
        <w:szCs w:val="20"/>
      </w:rPr>
      <w:t>i</w:t>
    </w:r>
    <w:r w:rsidRPr="008F683B">
      <w:rPr>
        <w:rStyle w:val="PageNumber"/>
        <w:rFonts w:ascii="Calibri" w:hAnsi="Calibr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C5189" w14:textId="606319E0" w:rsidR="003A2A0A" w:rsidRPr="008F683B" w:rsidRDefault="003A2A0A" w:rsidP="004C3ABF">
    <w:pPr>
      <w:pStyle w:val="Footer"/>
      <w:ind w:right="360"/>
      <w:rPr>
        <w:rFonts w:ascii="Calibri" w:hAnsi="Calibri"/>
        <w:sz w:val="20"/>
        <w:szCs w:val="20"/>
      </w:rPr>
    </w:pPr>
    <w:r>
      <w:rPr>
        <w:rStyle w:val="PageNumber"/>
      </w:rPr>
      <w:tab/>
    </w:r>
    <w:r>
      <w:rPr>
        <w:rStyle w:val="PageNumber"/>
      </w:rPr>
      <w:tab/>
    </w:r>
    <w:r w:rsidRPr="008F683B">
      <w:rPr>
        <w:rStyle w:val="PageNumber"/>
        <w:rFonts w:ascii="Calibri" w:hAnsi="Calibri"/>
        <w:sz w:val="20"/>
        <w:szCs w:val="20"/>
      </w:rPr>
      <w:fldChar w:fldCharType="begin"/>
    </w:r>
    <w:r w:rsidRPr="008F683B">
      <w:rPr>
        <w:rStyle w:val="PageNumber"/>
        <w:rFonts w:ascii="Calibri" w:hAnsi="Calibri"/>
        <w:sz w:val="20"/>
        <w:szCs w:val="20"/>
      </w:rPr>
      <w:instrText xml:space="preserve"> PAGE </w:instrText>
    </w:r>
    <w:r w:rsidRPr="008F683B">
      <w:rPr>
        <w:rStyle w:val="PageNumber"/>
        <w:rFonts w:ascii="Calibri" w:hAnsi="Calibri"/>
        <w:sz w:val="20"/>
        <w:szCs w:val="20"/>
      </w:rPr>
      <w:fldChar w:fldCharType="separate"/>
    </w:r>
    <w:r w:rsidR="00C71EEB">
      <w:rPr>
        <w:rStyle w:val="PageNumber"/>
        <w:rFonts w:ascii="Calibri" w:hAnsi="Calibri"/>
        <w:noProof/>
        <w:sz w:val="20"/>
        <w:szCs w:val="20"/>
      </w:rPr>
      <w:t>1</w:t>
    </w:r>
    <w:r w:rsidRPr="008F683B">
      <w:rPr>
        <w:rStyle w:val="PageNumbe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C6EF1" w14:textId="77777777" w:rsidR="003A2A0A" w:rsidRDefault="003A2A0A">
      <w:r>
        <w:separator/>
      </w:r>
    </w:p>
  </w:footnote>
  <w:footnote w:type="continuationSeparator" w:id="0">
    <w:p w14:paraId="3CDCADFC" w14:textId="77777777" w:rsidR="003A2A0A" w:rsidRDefault="003A2A0A">
      <w:r>
        <w:continuationSeparator/>
      </w:r>
    </w:p>
  </w:footnote>
  <w:footnote w:type="continuationNotice" w:id="1">
    <w:p w14:paraId="4693139B" w14:textId="77777777" w:rsidR="003A2A0A" w:rsidRDefault="003A2A0A"/>
  </w:footnote>
  <w:footnote w:id="2">
    <w:p w14:paraId="2C4E6EBB" w14:textId="77777777" w:rsidR="003A2A0A" w:rsidRPr="00DC4272" w:rsidRDefault="003A2A0A" w:rsidP="00AC0CE2">
      <w:pPr>
        <w:pStyle w:val="FootnoteText"/>
        <w:rPr>
          <w:rFonts w:asciiTheme="minorHAnsi" w:hAnsiTheme="minorHAnsi"/>
        </w:rPr>
      </w:pPr>
      <w:r w:rsidRPr="00DC4272">
        <w:rPr>
          <w:rStyle w:val="FootnoteReference"/>
          <w:rFonts w:asciiTheme="minorHAnsi" w:hAnsiTheme="minorHAnsi"/>
        </w:rPr>
        <w:footnoteRef/>
      </w:r>
      <w:r w:rsidRPr="00DC4272">
        <w:rPr>
          <w:rFonts w:asciiTheme="minorHAnsi" w:hAnsiTheme="minorHAnsi"/>
        </w:rPr>
        <w:t xml:space="preserve"> DTF’s economic forecast data is outlined in Budget Paper No.2 (Chapter 2- Economic Conditions and Outlook) and in the Budget Update. TAFE institutes are encouraged to use this data in the strategic planning process.</w:t>
      </w:r>
    </w:p>
  </w:footnote>
  <w:footnote w:id="3">
    <w:p w14:paraId="57FAC2D1" w14:textId="77777777" w:rsidR="003A2A0A" w:rsidRPr="00DC4272" w:rsidRDefault="003A2A0A" w:rsidP="004A0752">
      <w:pPr>
        <w:pStyle w:val="FootnoteText"/>
        <w:rPr>
          <w:rFonts w:asciiTheme="minorHAnsi" w:hAnsiTheme="minorHAnsi"/>
        </w:rPr>
      </w:pPr>
      <w:r w:rsidRPr="00DC4272">
        <w:rPr>
          <w:rStyle w:val="FootnoteReference"/>
          <w:rFonts w:asciiTheme="minorHAnsi" w:hAnsiTheme="minorHAnsi"/>
        </w:rPr>
        <w:footnoteRef/>
      </w:r>
      <w:r w:rsidRPr="00DC4272">
        <w:rPr>
          <w:rFonts w:asciiTheme="minorHAnsi" w:hAnsiTheme="minorHAnsi"/>
        </w:rPr>
        <w:t xml:space="preserve"> It is expected that the strategic plan will be reviewed by the Board on an annual basis but it is not expected that it will be replaced or updated each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8D8E2" w14:textId="61AA2E5F" w:rsidR="003A2A0A" w:rsidRDefault="003A2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F237F" w14:textId="58C1E347" w:rsidR="003A2A0A" w:rsidRDefault="003A2A0A" w:rsidP="00266AC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6FC1F" w14:textId="4B10E190" w:rsidR="003A2A0A" w:rsidRDefault="003A2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A66"/>
    <w:multiLevelType w:val="hybridMultilevel"/>
    <w:tmpl w:val="A7E805EC"/>
    <w:lvl w:ilvl="0" w:tplc="977E5A60">
      <w:start w:val="1"/>
      <w:numFmt w:val="lowerLetter"/>
      <w:lvlText w:val="(%1)"/>
      <w:lvlJc w:val="left"/>
      <w:pPr>
        <w:ind w:left="1199" w:hanging="360"/>
      </w:pPr>
      <w:rPr>
        <w:rFonts w:asciiTheme="minorHAnsi" w:hAnsiTheme="minorHAnsi" w:hint="default"/>
      </w:rPr>
    </w:lvl>
    <w:lvl w:ilvl="1" w:tplc="0C09001B">
      <w:start w:val="1"/>
      <w:numFmt w:val="lowerRoman"/>
      <w:lvlText w:val="%2."/>
      <w:lvlJc w:val="right"/>
      <w:pPr>
        <w:ind w:left="1919" w:hanging="360"/>
      </w:pPr>
    </w:lvl>
    <w:lvl w:ilvl="2" w:tplc="0C09001B" w:tentative="1">
      <w:start w:val="1"/>
      <w:numFmt w:val="lowerRoman"/>
      <w:lvlText w:val="%3."/>
      <w:lvlJc w:val="right"/>
      <w:pPr>
        <w:ind w:left="2639" w:hanging="180"/>
      </w:pPr>
    </w:lvl>
    <w:lvl w:ilvl="3" w:tplc="0C09000F" w:tentative="1">
      <w:start w:val="1"/>
      <w:numFmt w:val="decimal"/>
      <w:lvlText w:val="%4."/>
      <w:lvlJc w:val="left"/>
      <w:pPr>
        <w:ind w:left="3359" w:hanging="360"/>
      </w:pPr>
    </w:lvl>
    <w:lvl w:ilvl="4" w:tplc="0C090019" w:tentative="1">
      <w:start w:val="1"/>
      <w:numFmt w:val="lowerLetter"/>
      <w:lvlText w:val="%5."/>
      <w:lvlJc w:val="left"/>
      <w:pPr>
        <w:ind w:left="4079" w:hanging="360"/>
      </w:pPr>
    </w:lvl>
    <w:lvl w:ilvl="5" w:tplc="0C09001B" w:tentative="1">
      <w:start w:val="1"/>
      <w:numFmt w:val="lowerRoman"/>
      <w:lvlText w:val="%6."/>
      <w:lvlJc w:val="right"/>
      <w:pPr>
        <w:ind w:left="4799" w:hanging="180"/>
      </w:pPr>
    </w:lvl>
    <w:lvl w:ilvl="6" w:tplc="0C09000F" w:tentative="1">
      <w:start w:val="1"/>
      <w:numFmt w:val="decimal"/>
      <w:lvlText w:val="%7."/>
      <w:lvlJc w:val="left"/>
      <w:pPr>
        <w:ind w:left="5519" w:hanging="360"/>
      </w:pPr>
    </w:lvl>
    <w:lvl w:ilvl="7" w:tplc="0C090019" w:tentative="1">
      <w:start w:val="1"/>
      <w:numFmt w:val="lowerLetter"/>
      <w:lvlText w:val="%8."/>
      <w:lvlJc w:val="left"/>
      <w:pPr>
        <w:ind w:left="6239" w:hanging="360"/>
      </w:pPr>
    </w:lvl>
    <w:lvl w:ilvl="8" w:tplc="0C09001B" w:tentative="1">
      <w:start w:val="1"/>
      <w:numFmt w:val="lowerRoman"/>
      <w:lvlText w:val="%9."/>
      <w:lvlJc w:val="right"/>
      <w:pPr>
        <w:ind w:left="6959" w:hanging="180"/>
      </w:pPr>
    </w:lvl>
  </w:abstractNum>
  <w:abstractNum w:abstractNumId="1">
    <w:nsid w:val="038E0DB7"/>
    <w:multiLevelType w:val="hybridMultilevel"/>
    <w:tmpl w:val="013CAD0A"/>
    <w:lvl w:ilvl="0" w:tplc="DDAA6656">
      <w:start w:val="1"/>
      <w:numFmt w:val="decimal"/>
      <w:lvlText w:val="%1."/>
      <w:lvlJc w:val="left"/>
      <w:pPr>
        <w:tabs>
          <w:tab w:val="num" w:pos="720"/>
        </w:tabs>
        <w:ind w:left="720" w:hanging="720"/>
      </w:pPr>
      <w:rPr>
        <w:rFonts w:asciiTheme="minorHAnsi" w:hAnsiTheme="minorHAnsi"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C845B61"/>
    <w:multiLevelType w:val="hybridMultilevel"/>
    <w:tmpl w:val="B0C88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7C6BBF"/>
    <w:multiLevelType w:val="hybridMultilevel"/>
    <w:tmpl w:val="5A1079B4"/>
    <w:lvl w:ilvl="0" w:tplc="41CCA56E">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F8061BC"/>
    <w:multiLevelType w:val="multilevel"/>
    <w:tmpl w:val="E138C658"/>
    <w:lvl w:ilvl="0">
      <w:start w:val="1"/>
      <w:numFmt w:val="decimal"/>
      <w:pStyle w:val="MELegal1"/>
      <w:lvlText w:val="%1."/>
      <w:lvlJc w:val="left"/>
      <w:pPr>
        <w:tabs>
          <w:tab w:val="num" w:pos="1106"/>
        </w:tabs>
        <w:ind w:left="1106" w:hanging="680"/>
      </w:pPr>
      <w:rPr>
        <w:rFonts w:ascii="Times New Roman" w:hAnsi="Times New Roman" w:hint="default"/>
        <w:b w:val="0"/>
        <w:bCs w:val="0"/>
        <w:i w:val="0"/>
        <w:iCs w:val="0"/>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681"/>
        </w:tabs>
        <w:ind w:left="681" w:hanging="681"/>
      </w:pPr>
      <w:rPr>
        <w:rFonts w:ascii="Times New Roman" w:hAnsi="Times New Roman" w:hint="default"/>
        <w:b w:val="0"/>
        <w:bCs w:val="0"/>
        <w:i w:val="0"/>
        <w:iCs w:val="0"/>
      </w:rPr>
    </w:lvl>
    <w:lvl w:ilvl="3">
      <w:start w:val="1"/>
      <w:numFmt w:val="lowerLetter"/>
      <w:pStyle w:val="MELegal4"/>
      <w:lvlText w:val="(%4)"/>
      <w:lvlJc w:val="left"/>
      <w:pPr>
        <w:tabs>
          <w:tab w:val="num" w:pos="2041"/>
        </w:tabs>
        <w:ind w:left="2041" w:hanging="680"/>
      </w:pPr>
      <w:rPr>
        <w:rFonts w:ascii="TimesNewRomanPSMT" w:eastAsia="SimSun" w:hAnsi="TimesNewRomanPSMT" w:cs="TimesNewRomanPSM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12BE329F"/>
    <w:multiLevelType w:val="hybridMultilevel"/>
    <w:tmpl w:val="9BE66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386190"/>
    <w:multiLevelType w:val="hybridMultilevel"/>
    <w:tmpl w:val="5A1079B4"/>
    <w:lvl w:ilvl="0" w:tplc="41CCA56E">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BB76FC9"/>
    <w:multiLevelType w:val="hybridMultilevel"/>
    <w:tmpl w:val="8BB04988"/>
    <w:lvl w:ilvl="0" w:tplc="41CCA56E">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3EC42F8"/>
    <w:multiLevelType w:val="hybridMultilevel"/>
    <w:tmpl w:val="B9B4A0AE"/>
    <w:lvl w:ilvl="0" w:tplc="6680BCF0">
      <w:start w:val="1"/>
      <w:numFmt w:val="lowerLetter"/>
      <w:lvlText w:val="(%1)"/>
      <w:lvlJc w:val="left"/>
      <w:pPr>
        <w:ind w:left="1199" w:hanging="360"/>
      </w:pPr>
      <w:rPr>
        <w:rFonts w:ascii="Times New Roman" w:hAnsi="Times New Roman" w:hint="default"/>
      </w:rPr>
    </w:lvl>
    <w:lvl w:ilvl="1" w:tplc="0C09001B">
      <w:start w:val="1"/>
      <w:numFmt w:val="lowerRoman"/>
      <w:lvlText w:val="%2."/>
      <w:lvlJc w:val="right"/>
      <w:pPr>
        <w:ind w:left="1919" w:hanging="360"/>
      </w:pPr>
    </w:lvl>
    <w:lvl w:ilvl="2" w:tplc="0C09001B" w:tentative="1">
      <w:start w:val="1"/>
      <w:numFmt w:val="lowerRoman"/>
      <w:lvlText w:val="%3."/>
      <w:lvlJc w:val="right"/>
      <w:pPr>
        <w:ind w:left="2639" w:hanging="180"/>
      </w:pPr>
    </w:lvl>
    <w:lvl w:ilvl="3" w:tplc="0C09000F" w:tentative="1">
      <w:start w:val="1"/>
      <w:numFmt w:val="decimal"/>
      <w:lvlText w:val="%4."/>
      <w:lvlJc w:val="left"/>
      <w:pPr>
        <w:ind w:left="3359" w:hanging="360"/>
      </w:pPr>
    </w:lvl>
    <w:lvl w:ilvl="4" w:tplc="0C090019" w:tentative="1">
      <w:start w:val="1"/>
      <w:numFmt w:val="lowerLetter"/>
      <w:lvlText w:val="%5."/>
      <w:lvlJc w:val="left"/>
      <w:pPr>
        <w:ind w:left="4079" w:hanging="360"/>
      </w:pPr>
    </w:lvl>
    <w:lvl w:ilvl="5" w:tplc="0C09001B" w:tentative="1">
      <w:start w:val="1"/>
      <w:numFmt w:val="lowerRoman"/>
      <w:lvlText w:val="%6."/>
      <w:lvlJc w:val="right"/>
      <w:pPr>
        <w:ind w:left="4799" w:hanging="180"/>
      </w:pPr>
    </w:lvl>
    <w:lvl w:ilvl="6" w:tplc="0C09000F" w:tentative="1">
      <w:start w:val="1"/>
      <w:numFmt w:val="decimal"/>
      <w:lvlText w:val="%7."/>
      <w:lvlJc w:val="left"/>
      <w:pPr>
        <w:ind w:left="5519" w:hanging="360"/>
      </w:pPr>
    </w:lvl>
    <w:lvl w:ilvl="7" w:tplc="0C090019" w:tentative="1">
      <w:start w:val="1"/>
      <w:numFmt w:val="lowerLetter"/>
      <w:lvlText w:val="%8."/>
      <w:lvlJc w:val="left"/>
      <w:pPr>
        <w:ind w:left="6239" w:hanging="360"/>
      </w:pPr>
    </w:lvl>
    <w:lvl w:ilvl="8" w:tplc="0C09001B" w:tentative="1">
      <w:start w:val="1"/>
      <w:numFmt w:val="lowerRoman"/>
      <w:lvlText w:val="%9."/>
      <w:lvlJc w:val="right"/>
      <w:pPr>
        <w:ind w:left="6959" w:hanging="180"/>
      </w:pPr>
    </w:lvl>
  </w:abstractNum>
  <w:abstractNum w:abstractNumId="9">
    <w:nsid w:val="254629D9"/>
    <w:multiLevelType w:val="hybridMultilevel"/>
    <w:tmpl w:val="29EA6A78"/>
    <w:lvl w:ilvl="0" w:tplc="30743EC2">
      <w:start w:val="1"/>
      <w:numFmt w:val="lowerLetter"/>
      <w:lvlText w:val="(%1)"/>
      <w:lvlJc w:val="left"/>
      <w:pPr>
        <w:ind w:left="2160" w:hanging="60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0">
    <w:nsid w:val="2B063457"/>
    <w:multiLevelType w:val="hybridMultilevel"/>
    <w:tmpl w:val="88128484"/>
    <w:lvl w:ilvl="0" w:tplc="291A1E84">
      <w:start w:val="1"/>
      <w:numFmt w:val="lowerLetter"/>
      <w:lvlText w:val="(%1)"/>
      <w:lvlJc w:val="left"/>
      <w:pPr>
        <w:ind w:left="1199" w:hanging="360"/>
      </w:pPr>
      <w:rPr>
        <w:rFonts w:asciiTheme="minorHAnsi" w:hAnsiTheme="minorHAnsi" w:hint="default"/>
      </w:rPr>
    </w:lvl>
    <w:lvl w:ilvl="1" w:tplc="0C09001B">
      <w:start w:val="1"/>
      <w:numFmt w:val="lowerRoman"/>
      <w:lvlText w:val="%2."/>
      <w:lvlJc w:val="right"/>
      <w:pPr>
        <w:ind w:left="1919" w:hanging="360"/>
      </w:pPr>
    </w:lvl>
    <w:lvl w:ilvl="2" w:tplc="0C09001B" w:tentative="1">
      <w:start w:val="1"/>
      <w:numFmt w:val="lowerRoman"/>
      <w:lvlText w:val="%3."/>
      <w:lvlJc w:val="right"/>
      <w:pPr>
        <w:ind w:left="2639" w:hanging="180"/>
      </w:pPr>
    </w:lvl>
    <w:lvl w:ilvl="3" w:tplc="0C09000F" w:tentative="1">
      <w:start w:val="1"/>
      <w:numFmt w:val="decimal"/>
      <w:lvlText w:val="%4."/>
      <w:lvlJc w:val="left"/>
      <w:pPr>
        <w:ind w:left="3359" w:hanging="360"/>
      </w:pPr>
    </w:lvl>
    <w:lvl w:ilvl="4" w:tplc="0C090019" w:tentative="1">
      <w:start w:val="1"/>
      <w:numFmt w:val="lowerLetter"/>
      <w:lvlText w:val="%5."/>
      <w:lvlJc w:val="left"/>
      <w:pPr>
        <w:ind w:left="4079" w:hanging="360"/>
      </w:pPr>
    </w:lvl>
    <w:lvl w:ilvl="5" w:tplc="0C09001B" w:tentative="1">
      <w:start w:val="1"/>
      <w:numFmt w:val="lowerRoman"/>
      <w:lvlText w:val="%6."/>
      <w:lvlJc w:val="right"/>
      <w:pPr>
        <w:ind w:left="4799" w:hanging="180"/>
      </w:pPr>
    </w:lvl>
    <w:lvl w:ilvl="6" w:tplc="0C09000F" w:tentative="1">
      <w:start w:val="1"/>
      <w:numFmt w:val="decimal"/>
      <w:lvlText w:val="%7."/>
      <w:lvlJc w:val="left"/>
      <w:pPr>
        <w:ind w:left="5519" w:hanging="360"/>
      </w:pPr>
    </w:lvl>
    <w:lvl w:ilvl="7" w:tplc="0C090019" w:tentative="1">
      <w:start w:val="1"/>
      <w:numFmt w:val="lowerLetter"/>
      <w:lvlText w:val="%8."/>
      <w:lvlJc w:val="left"/>
      <w:pPr>
        <w:ind w:left="6239" w:hanging="360"/>
      </w:pPr>
    </w:lvl>
    <w:lvl w:ilvl="8" w:tplc="0C09001B" w:tentative="1">
      <w:start w:val="1"/>
      <w:numFmt w:val="lowerRoman"/>
      <w:lvlText w:val="%9."/>
      <w:lvlJc w:val="right"/>
      <w:pPr>
        <w:ind w:left="6959" w:hanging="180"/>
      </w:pPr>
    </w:lvl>
  </w:abstractNum>
  <w:abstractNum w:abstractNumId="11">
    <w:nsid w:val="2E89775E"/>
    <w:multiLevelType w:val="hybridMultilevel"/>
    <w:tmpl w:val="25B27FD2"/>
    <w:lvl w:ilvl="0" w:tplc="40043E7A">
      <w:start w:val="3"/>
      <w:numFmt w:val="lowerLetter"/>
      <w:lvlText w:val="(%1)"/>
      <w:lvlJc w:val="left"/>
      <w:pPr>
        <w:ind w:left="1199" w:hanging="360"/>
      </w:pPr>
      <w:rPr>
        <w:rFonts w:ascii="Calibri" w:hAnsi="Calibri" w:hint="default"/>
      </w:rPr>
    </w:lvl>
    <w:lvl w:ilvl="1" w:tplc="0C09001B">
      <w:start w:val="1"/>
      <w:numFmt w:val="lowerRoman"/>
      <w:lvlText w:val="%2."/>
      <w:lvlJc w:val="right"/>
      <w:pPr>
        <w:ind w:left="1919" w:hanging="360"/>
      </w:pPr>
    </w:lvl>
    <w:lvl w:ilvl="2" w:tplc="0C09001B" w:tentative="1">
      <w:start w:val="1"/>
      <w:numFmt w:val="lowerRoman"/>
      <w:lvlText w:val="%3."/>
      <w:lvlJc w:val="right"/>
      <w:pPr>
        <w:ind w:left="2639" w:hanging="180"/>
      </w:pPr>
    </w:lvl>
    <w:lvl w:ilvl="3" w:tplc="0C09000F" w:tentative="1">
      <w:start w:val="1"/>
      <w:numFmt w:val="decimal"/>
      <w:lvlText w:val="%4."/>
      <w:lvlJc w:val="left"/>
      <w:pPr>
        <w:ind w:left="3359" w:hanging="360"/>
      </w:pPr>
    </w:lvl>
    <w:lvl w:ilvl="4" w:tplc="0C090019" w:tentative="1">
      <w:start w:val="1"/>
      <w:numFmt w:val="lowerLetter"/>
      <w:lvlText w:val="%5."/>
      <w:lvlJc w:val="left"/>
      <w:pPr>
        <w:ind w:left="4079" w:hanging="360"/>
      </w:pPr>
    </w:lvl>
    <w:lvl w:ilvl="5" w:tplc="0C09001B" w:tentative="1">
      <w:start w:val="1"/>
      <w:numFmt w:val="lowerRoman"/>
      <w:lvlText w:val="%6."/>
      <w:lvlJc w:val="right"/>
      <w:pPr>
        <w:ind w:left="4799" w:hanging="180"/>
      </w:pPr>
    </w:lvl>
    <w:lvl w:ilvl="6" w:tplc="0C09000F" w:tentative="1">
      <w:start w:val="1"/>
      <w:numFmt w:val="decimal"/>
      <w:lvlText w:val="%7."/>
      <w:lvlJc w:val="left"/>
      <w:pPr>
        <w:ind w:left="5519" w:hanging="360"/>
      </w:pPr>
    </w:lvl>
    <w:lvl w:ilvl="7" w:tplc="0C090019" w:tentative="1">
      <w:start w:val="1"/>
      <w:numFmt w:val="lowerLetter"/>
      <w:lvlText w:val="%8."/>
      <w:lvlJc w:val="left"/>
      <w:pPr>
        <w:ind w:left="6239" w:hanging="360"/>
      </w:pPr>
    </w:lvl>
    <w:lvl w:ilvl="8" w:tplc="0C09001B" w:tentative="1">
      <w:start w:val="1"/>
      <w:numFmt w:val="lowerRoman"/>
      <w:lvlText w:val="%9."/>
      <w:lvlJc w:val="right"/>
      <w:pPr>
        <w:ind w:left="6959" w:hanging="180"/>
      </w:pPr>
    </w:lvl>
  </w:abstractNum>
  <w:abstractNum w:abstractNumId="12">
    <w:nsid w:val="33032E05"/>
    <w:multiLevelType w:val="hybridMultilevel"/>
    <w:tmpl w:val="792AD7A6"/>
    <w:lvl w:ilvl="0" w:tplc="B87C2028">
      <w:start w:val="1"/>
      <w:numFmt w:val="lowerLetter"/>
      <w:lvlText w:val="(%1)"/>
      <w:lvlJc w:val="left"/>
      <w:pPr>
        <w:ind w:left="1199" w:hanging="360"/>
      </w:pPr>
      <w:rPr>
        <w:rFonts w:asciiTheme="minorHAnsi" w:hAnsiTheme="minorHAnsi" w:hint="default"/>
      </w:rPr>
    </w:lvl>
    <w:lvl w:ilvl="1" w:tplc="0C09001B">
      <w:start w:val="1"/>
      <w:numFmt w:val="lowerRoman"/>
      <w:lvlText w:val="%2."/>
      <w:lvlJc w:val="right"/>
      <w:pPr>
        <w:ind w:left="1919" w:hanging="360"/>
      </w:pPr>
    </w:lvl>
    <w:lvl w:ilvl="2" w:tplc="0C09001B" w:tentative="1">
      <w:start w:val="1"/>
      <w:numFmt w:val="lowerRoman"/>
      <w:lvlText w:val="%3."/>
      <w:lvlJc w:val="right"/>
      <w:pPr>
        <w:ind w:left="2639" w:hanging="180"/>
      </w:pPr>
    </w:lvl>
    <w:lvl w:ilvl="3" w:tplc="0C09000F" w:tentative="1">
      <w:start w:val="1"/>
      <w:numFmt w:val="decimal"/>
      <w:lvlText w:val="%4."/>
      <w:lvlJc w:val="left"/>
      <w:pPr>
        <w:ind w:left="3359" w:hanging="360"/>
      </w:pPr>
    </w:lvl>
    <w:lvl w:ilvl="4" w:tplc="0C090019" w:tentative="1">
      <w:start w:val="1"/>
      <w:numFmt w:val="lowerLetter"/>
      <w:lvlText w:val="%5."/>
      <w:lvlJc w:val="left"/>
      <w:pPr>
        <w:ind w:left="4079" w:hanging="360"/>
      </w:pPr>
    </w:lvl>
    <w:lvl w:ilvl="5" w:tplc="0C09001B" w:tentative="1">
      <w:start w:val="1"/>
      <w:numFmt w:val="lowerRoman"/>
      <w:lvlText w:val="%6."/>
      <w:lvlJc w:val="right"/>
      <w:pPr>
        <w:ind w:left="4799" w:hanging="180"/>
      </w:pPr>
    </w:lvl>
    <w:lvl w:ilvl="6" w:tplc="0C09000F" w:tentative="1">
      <w:start w:val="1"/>
      <w:numFmt w:val="decimal"/>
      <w:lvlText w:val="%7."/>
      <w:lvlJc w:val="left"/>
      <w:pPr>
        <w:ind w:left="5519" w:hanging="360"/>
      </w:pPr>
    </w:lvl>
    <w:lvl w:ilvl="7" w:tplc="0C090019" w:tentative="1">
      <w:start w:val="1"/>
      <w:numFmt w:val="lowerLetter"/>
      <w:lvlText w:val="%8."/>
      <w:lvlJc w:val="left"/>
      <w:pPr>
        <w:ind w:left="6239" w:hanging="360"/>
      </w:pPr>
    </w:lvl>
    <w:lvl w:ilvl="8" w:tplc="0C09001B" w:tentative="1">
      <w:start w:val="1"/>
      <w:numFmt w:val="lowerRoman"/>
      <w:lvlText w:val="%9."/>
      <w:lvlJc w:val="right"/>
      <w:pPr>
        <w:ind w:left="6959" w:hanging="180"/>
      </w:pPr>
    </w:lvl>
  </w:abstractNum>
  <w:abstractNum w:abstractNumId="13">
    <w:nsid w:val="35E9573F"/>
    <w:multiLevelType w:val="hybridMultilevel"/>
    <w:tmpl w:val="BB1E0C94"/>
    <w:lvl w:ilvl="0" w:tplc="0C09001B">
      <w:start w:val="1"/>
      <w:numFmt w:val="lowerRoman"/>
      <w:lvlText w:val="%1."/>
      <w:lvlJc w:val="right"/>
      <w:pPr>
        <w:ind w:left="1559" w:hanging="360"/>
      </w:pPr>
    </w:lvl>
    <w:lvl w:ilvl="1" w:tplc="0C090019" w:tentative="1">
      <w:start w:val="1"/>
      <w:numFmt w:val="lowerLetter"/>
      <w:lvlText w:val="%2."/>
      <w:lvlJc w:val="left"/>
      <w:pPr>
        <w:ind w:left="2279" w:hanging="360"/>
      </w:pPr>
    </w:lvl>
    <w:lvl w:ilvl="2" w:tplc="0C09001B" w:tentative="1">
      <w:start w:val="1"/>
      <w:numFmt w:val="lowerRoman"/>
      <w:lvlText w:val="%3."/>
      <w:lvlJc w:val="right"/>
      <w:pPr>
        <w:ind w:left="2999" w:hanging="180"/>
      </w:pPr>
    </w:lvl>
    <w:lvl w:ilvl="3" w:tplc="0C09000F" w:tentative="1">
      <w:start w:val="1"/>
      <w:numFmt w:val="decimal"/>
      <w:lvlText w:val="%4."/>
      <w:lvlJc w:val="left"/>
      <w:pPr>
        <w:ind w:left="3719" w:hanging="360"/>
      </w:pPr>
    </w:lvl>
    <w:lvl w:ilvl="4" w:tplc="0C090019" w:tentative="1">
      <w:start w:val="1"/>
      <w:numFmt w:val="lowerLetter"/>
      <w:lvlText w:val="%5."/>
      <w:lvlJc w:val="left"/>
      <w:pPr>
        <w:ind w:left="4439" w:hanging="360"/>
      </w:pPr>
    </w:lvl>
    <w:lvl w:ilvl="5" w:tplc="0C09001B" w:tentative="1">
      <w:start w:val="1"/>
      <w:numFmt w:val="lowerRoman"/>
      <w:lvlText w:val="%6."/>
      <w:lvlJc w:val="right"/>
      <w:pPr>
        <w:ind w:left="5159" w:hanging="180"/>
      </w:pPr>
    </w:lvl>
    <w:lvl w:ilvl="6" w:tplc="0C09000F" w:tentative="1">
      <w:start w:val="1"/>
      <w:numFmt w:val="decimal"/>
      <w:lvlText w:val="%7."/>
      <w:lvlJc w:val="left"/>
      <w:pPr>
        <w:ind w:left="5879" w:hanging="360"/>
      </w:pPr>
    </w:lvl>
    <w:lvl w:ilvl="7" w:tplc="0C090019" w:tentative="1">
      <w:start w:val="1"/>
      <w:numFmt w:val="lowerLetter"/>
      <w:lvlText w:val="%8."/>
      <w:lvlJc w:val="left"/>
      <w:pPr>
        <w:ind w:left="6599" w:hanging="360"/>
      </w:pPr>
    </w:lvl>
    <w:lvl w:ilvl="8" w:tplc="0C09001B" w:tentative="1">
      <w:start w:val="1"/>
      <w:numFmt w:val="lowerRoman"/>
      <w:lvlText w:val="%9."/>
      <w:lvlJc w:val="right"/>
      <w:pPr>
        <w:ind w:left="7319" w:hanging="180"/>
      </w:pPr>
    </w:lvl>
  </w:abstractNum>
  <w:abstractNum w:abstractNumId="14">
    <w:nsid w:val="38ED2D6C"/>
    <w:multiLevelType w:val="hybridMultilevel"/>
    <w:tmpl w:val="5A1079B4"/>
    <w:lvl w:ilvl="0" w:tplc="41CCA56E">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38F8453E"/>
    <w:multiLevelType w:val="hybridMultilevel"/>
    <w:tmpl w:val="5A1079B4"/>
    <w:lvl w:ilvl="0" w:tplc="41CCA56E">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CA6764D"/>
    <w:multiLevelType w:val="hybridMultilevel"/>
    <w:tmpl w:val="EB164E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F65541"/>
    <w:multiLevelType w:val="hybridMultilevel"/>
    <w:tmpl w:val="5A1079B4"/>
    <w:lvl w:ilvl="0" w:tplc="41CCA56E">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49016C66"/>
    <w:multiLevelType w:val="hybridMultilevel"/>
    <w:tmpl w:val="5A1079B4"/>
    <w:lvl w:ilvl="0" w:tplc="41CCA56E">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DB438BD"/>
    <w:multiLevelType w:val="hybridMultilevel"/>
    <w:tmpl w:val="D5E68694"/>
    <w:lvl w:ilvl="0" w:tplc="4FF60E70">
      <w:start w:val="4"/>
      <w:numFmt w:val="lowerLetter"/>
      <w:lvlText w:val="(%1)"/>
      <w:lvlJc w:val="left"/>
      <w:pPr>
        <w:ind w:left="1199" w:hanging="360"/>
      </w:pPr>
      <w:rPr>
        <w:rFonts w:ascii="Calibri" w:hAnsi="Calibri" w:hint="default"/>
      </w:rPr>
    </w:lvl>
    <w:lvl w:ilvl="1" w:tplc="0C09001B">
      <w:start w:val="1"/>
      <w:numFmt w:val="lowerRoman"/>
      <w:lvlText w:val="%2."/>
      <w:lvlJc w:val="right"/>
      <w:pPr>
        <w:ind w:left="1919" w:hanging="360"/>
      </w:pPr>
    </w:lvl>
    <w:lvl w:ilvl="2" w:tplc="0C09001B" w:tentative="1">
      <w:start w:val="1"/>
      <w:numFmt w:val="lowerRoman"/>
      <w:lvlText w:val="%3."/>
      <w:lvlJc w:val="right"/>
      <w:pPr>
        <w:ind w:left="2639" w:hanging="180"/>
      </w:pPr>
    </w:lvl>
    <w:lvl w:ilvl="3" w:tplc="0C09000F" w:tentative="1">
      <w:start w:val="1"/>
      <w:numFmt w:val="decimal"/>
      <w:lvlText w:val="%4."/>
      <w:lvlJc w:val="left"/>
      <w:pPr>
        <w:ind w:left="3359" w:hanging="360"/>
      </w:pPr>
    </w:lvl>
    <w:lvl w:ilvl="4" w:tplc="0C090019" w:tentative="1">
      <w:start w:val="1"/>
      <w:numFmt w:val="lowerLetter"/>
      <w:lvlText w:val="%5."/>
      <w:lvlJc w:val="left"/>
      <w:pPr>
        <w:ind w:left="4079" w:hanging="360"/>
      </w:pPr>
    </w:lvl>
    <w:lvl w:ilvl="5" w:tplc="0C09001B" w:tentative="1">
      <w:start w:val="1"/>
      <w:numFmt w:val="lowerRoman"/>
      <w:lvlText w:val="%6."/>
      <w:lvlJc w:val="right"/>
      <w:pPr>
        <w:ind w:left="4799" w:hanging="180"/>
      </w:pPr>
    </w:lvl>
    <w:lvl w:ilvl="6" w:tplc="0C09000F" w:tentative="1">
      <w:start w:val="1"/>
      <w:numFmt w:val="decimal"/>
      <w:lvlText w:val="%7."/>
      <w:lvlJc w:val="left"/>
      <w:pPr>
        <w:ind w:left="5519" w:hanging="360"/>
      </w:pPr>
    </w:lvl>
    <w:lvl w:ilvl="7" w:tplc="0C090019" w:tentative="1">
      <w:start w:val="1"/>
      <w:numFmt w:val="lowerLetter"/>
      <w:lvlText w:val="%8."/>
      <w:lvlJc w:val="left"/>
      <w:pPr>
        <w:ind w:left="6239" w:hanging="360"/>
      </w:pPr>
    </w:lvl>
    <w:lvl w:ilvl="8" w:tplc="0C09001B" w:tentative="1">
      <w:start w:val="1"/>
      <w:numFmt w:val="lowerRoman"/>
      <w:lvlText w:val="%9."/>
      <w:lvlJc w:val="right"/>
      <w:pPr>
        <w:ind w:left="6959" w:hanging="180"/>
      </w:pPr>
    </w:lvl>
  </w:abstractNum>
  <w:abstractNum w:abstractNumId="20">
    <w:nsid w:val="5E2F0A12"/>
    <w:multiLevelType w:val="hybridMultilevel"/>
    <w:tmpl w:val="BB1E0C94"/>
    <w:lvl w:ilvl="0" w:tplc="0C09001B">
      <w:start w:val="1"/>
      <w:numFmt w:val="lowerRoman"/>
      <w:lvlText w:val="%1."/>
      <w:lvlJc w:val="right"/>
      <w:pPr>
        <w:ind w:left="1559" w:hanging="360"/>
      </w:pPr>
    </w:lvl>
    <w:lvl w:ilvl="1" w:tplc="0C090019" w:tentative="1">
      <w:start w:val="1"/>
      <w:numFmt w:val="lowerLetter"/>
      <w:lvlText w:val="%2."/>
      <w:lvlJc w:val="left"/>
      <w:pPr>
        <w:ind w:left="2279" w:hanging="360"/>
      </w:pPr>
    </w:lvl>
    <w:lvl w:ilvl="2" w:tplc="0C09001B" w:tentative="1">
      <w:start w:val="1"/>
      <w:numFmt w:val="lowerRoman"/>
      <w:lvlText w:val="%3."/>
      <w:lvlJc w:val="right"/>
      <w:pPr>
        <w:ind w:left="2999" w:hanging="180"/>
      </w:pPr>
    </w:lvl>
    <w:lvl w:ilvl="3" w:tplc="0C09000F" w:tentative="1">
      <w:start w:val="1"/>
      <w:numFmt w:val="decimal"/>
      <w:lvlText w:val="%4."/>
      <w:lvlJc w:val="left"/>
      <w:pPr>
        <w:ind w:left="3719" w:hanging="360"/>
      </w:pPr>
    </w:lvl>
    <w:lvl w:ilvl="4" w:tplc="0C090019" w:tentative="1">
      <w:start w:val="1"/>
      <w:numFmt w:val="lowerLetter"/>
      <w:lvlText w:val="%5."/>
      <w:lvlJc w:val="left"/>
      <w:pPr>
        <w:ind w:left="4439" w:hanging="360"/>
      </w:pPr>
    </w:lvl>
    <w:lvl w:ilvl="5" w:tplc="0C09001B" w:tentative="1">
      <w:start w:val="1"/>
      <w:numFmt w:val="lowerRoman"/>
      <w:lvlText w:val="%6."/>
      <w:lvlJc w:val="right"/>
      <w:pPr>
        <w:ind w:left="5159" w:hanging="180"/>
      </w:pPr>
    </w:lvl>
    <w:lvl w:ilvl="6" w:tplc="0C09000F" w:tentative="1">
      <w:start w:val="1"/>
      <w:numFmt w:val="decimal"/>
      <w:lvlText w:val="%7."/>
      <w:lvlJc w:val="left"/>
      <w:pPr>
        <w:ind w:left="5879" w:hanging="360"/>
      </w:pPr>
    </w:lvl>
    <w:lvl w:ilvl="7" w:tplc="0C090019" w:tentative="1">
      <w:start w:val="1"/>
      <w:numFmt w:val="lowerLetter"/>
      <w:lvlText w:val="%8."/>
      <w:lvlJc w:val="left"/>
      <w:pPr>
        <w:ind w:left="6599" w:hanging="360"/>
      </w:pPr>
    </w:lvl>
    <w:lvl w:ilvl="8" w:tplc="0C09001B" w:tentative="1">
      <w:start w:val="1"/>
      <w:numFmt w:val="lowerRoman"/>
      <w:lvlText w:val="%9."/>
      <w:lvlJc w:val="right"/>
      <w:pPr>
        <w:ind w:left="7319" w:hanging="180"/>
      </w:pPr>
    </w:lvl>
  </w:abstractNum>
  <w:abstractNum w:abstractNumId="21">
    <w:nsid w:val="5F8F4EC5"/>
    <w:multiLevelType w:val="hybridMultilevel"/>
    <w:tmpl w:val="21E4838C"/>
    <w:lvl w:ilvl="0" w:tplc="E200B234">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1F96BC0"/>
    <w:multiLevelType w:val="hybridMultilevel"/>
    <w:tmpl w:val="315E3DEA"/>
    <w:lvl w:ilvl="0" w:tplc="978442F2">
      <w:start w:val="1"/>
      <w:numFmt w:val="lowerLetter"/>
      <w:lvlText w:val="(%1)"/>
      <w:lvlJc w:val="left"/>
      <w:pPr>
        <w:tabs>
          <w:tab w:val="num" w:pos="928"/>
        </w:tabs>
        <w:ind w:left="928" w:hanging="360"/>
      </w:pPr>
      <w:rPr>
        <w:rFonts w:ascii="Calibri" w:hAnsi="Calibri" w:hint="default"/>
        <w:b w:val="0"/>
      </w:rPr>
    </w:lvl>
    <w:lvl w:ilvl="1" w:tplc="0C090019">
      <w:start w:val="1"/>
      <w:numFmt w:val="lowerLetter"/>
      <w:lvlText w:val="%2."/>
      <w:lvlJc w:val="left"/>
      <w:pPr>
        <w:tabs>
          <w:tab w:val="num" w:pos="1260"/>
        </w:tabs>
        <w:ind w:left="1260" w:hanging="360"/>
      </w:pPr>
    </w:lvl>
    <w:lvl w:ilvl="2" w:tplc="0C09001B">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3">
    <w:nsid w:val="6E394F5C"/>
    <w:multiLevelType w:val="hybridMultilevel"/>
    <w:tmpl w:val="A7DC19D6"/>
    <w:lvl w:ilvl="0" w:tplc="C4A227A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724A59AF"/>
    <w:multiLevelType w:val="hybridMultilevel"/>
    <w:tmpl w:val="8BB04988"/>
    <w:lvl w:ilvl="0" w:tplc="41CCA56E">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29E6897"/>
    <w:multiLevelType w:val="hybridMultilevel"/>
    <w:tmpl w:val="57F4BB8E"/>
    <w:lvl w:ilvl="0" w:tplc="E41499F6">
      <w:start w:val="1"/>
      <w:numFmt w:val="lowerLetter"/>
      <w:lvlText w:val="(%1)"/>
      <w:lvlJc w:val="left"/>
      <w:pPr>
        <w:ind w:left="1199" w:hanging="360"/>
      </w:pPr>
      <w:rPr>
        <w:rFonts w:asciiTheme="minorHAnsi" w:hAnsiTheme="minorHAnsi" w:hint="default"/>
      </w:rPr>
    </w:lvl>
    <w:lvl w:ilvl="1" w:tplc="0C09001B">
      <w:start w:val="1"/>
      <w:numFmt w:val="lowerRoman"/>
      <w:lvlText w:val="%2."/>
      <w:lvlJc w:val="right"/>
      <w:pPr>
        <w:ind w:left="1919" w:hanging="360"/>
      </w:pPr>
    </w:lvl>
    <w:lvl w:ilvl="2" w:tplc="0C09001B" w:tentative="1">
      <w:start w:val="1"/>
      <w:numFmt w:val="lowerRoman"/>
      <w:lvlText w:val="%3."/>
      <w:lvlJc w:val="right"/>
      <w:pPr>
        <w:ind w:left="2639" w:hanging="180"/>
      </w:pPr>
    </w:lvl>
    <w:lvl w:ilvl="3" w:tplc="0C09000F" w:tentative="1">
      <w:start w:val="1"/>
      <w:numFmt w:val="decimal"/>
      <w:lvlText w:val="%4."/>
      <w:lvlJc w:val="left"/>
      <w:pPr>
        <w:ind w:left="3359" w:hanging="360"/>
      </w:pPr>
    </w:lvl>
    <w:lvl w:ilvl="4" w:tplc="0C090019" w:tentative="1">
      <w:start w:val="1"/>
      <w:numFmt w:val="lowerLetter"/>
      <w:lvlText w:val="%5."/>
      <w:lvlJc w:val="left"/>
      <w:pPr>
        <w:ind w:left="4079" w:hanging="360"/>
      </w:pPr>
    </w:lvl>
    <w:lvl w:ilvl="5" w:tplc="0C09001B" w:tentative="1">
      <w:start w:val="1"/>
      <w:numFmt w:val="lowerRoman"/>
      <w:lvlText w:val="%6."/>
      <w:lvlJc w:val="right"/>
      <w:pPr>
        <w:ind w:left="4799" w:hanging="180"/>
      </w:pPr>
    </w:lvl>
    <w:lvl w:ilvl="6" w:tplc="0C09000F" w:tentative="1">
      <w:start w:val="1"/>
      <w:numFmt w:val="decimal"/>
      <w:lvlText w:val="%7."/>
      <w:lvlJc w:val="left"/>
      <w:pPr>
        <w:ind w:left="5519" w:hanging="360"/>
      </w:pPr>
    </w:lvl>
    <w:lvl w:ilvl="7" w:tplc="0C090019" w:tentative="1">
      <w:start w:val="1"/>
      <w:numFmt w:val="lowerLetter"/>
      <w:lvlText w:val="%8."/>
      <w:lvlJc w:val="left"/>
      <w:pPr>
        <w:ind w:left="6239" w:hanging="360"/>
      </w:pPr>
    </w:lvl>
    <w:lvl w:ilvl="8" w:tplc="0C09001B" w:tentative="1">
      <w:start w:val="1"/>
      <w:numFmt w:val="lowerRoman"/>
      <w:lvlText w:val="%9."/>
      <w:lvlJc w:val="right"/>
      <w:pPr>
        <w:ind w:left="6959" w:hanging="180"/>
      </w:pPr>
    </w:lvl>
  </w:abstractNum>
  <w:abstractNum w:abstractNumId="26">
    <w:nsid w:val="7AC11C45"/>
    <w:multiLevelType w:val="hybridMultilevel"/>
    <w:tmpl w:val="949482DC"/>
    <w:lvl w:ilvl="0" w:tplc="C4A227A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7">
    <w:nsid w:val="7F2C1A2E"/>
    <w:multiLevelType w:val="hybridMultilevel"/>
    <w:tmpl w:val="5A1079B4"/>
    <w:lvl w:ilvl="0" w:tplc="41CCA56E">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6"/>
  </w:num>
  <w:num w:numId="2">
    <w:abstractNumId w:val="22"/>
  </w:num>
  <w:num w:numId="3">
    <w:abstractNumId w:val="4"/>
  </w:num>
  <w:num w:numId="4">
    <w:abstractNumId w:val="15"/>
  </w:num>
  <w:num w:numId="5">
    <w:abstractNumId w:val="1"/>
  </w:num>
  <w:num w:numId="6">
    <w:abstractNumId w:val="5"/>
  </w:num>
  <w:num w:numId="7">
    <w:abstractNumId w:val="16"/>
  </w:num>
  <w:num w:numId="8">
    <w:abstractNumId w:val="2"/>
  </w:num>
  <w:num w:numId="9">
    <w:abstractNumId w:val="3"/>
  </w:num>
  <w:num w:numId="10">
    <w:abstractNumId w:val="17"/>
  </w:num>
  <w:num w:numId="11">
    <w:abstractNumId w:val="14"/>
  </w:num>
  <w:num w:numId="12">
    <w:abstractNumId w:val="27"/>
  </w:num>
  <w:num w:numId="13">
    <w:abstractNumId w:val="18"/>
  </w:num>
  <w:num w:numId="14">
    <w:abstractNumId w:val="25"/>
  </w:num>
  <w:num w:numId="15">
    <w:abstractNumId w:val="13"/>
  </w:num>
  <w:num w:numId="16">
    <w:abstractNumId w:val="20"/>
  </w:num>
  <w:num w:numId="17">
    <w:abstractNumId w:val="11"/>
  </w:num>
  <w:num w:numId="18">
    <w:abstractNumId w:val="19"/>
  </w:num>
  <w:num w:numId="19">
    <w:abstractNumId w:val="12"/>
  </w:num>
  <w:num w:numId="20">
    <w:abstractNumId w:val="8"/>
  </w:num>
  <w:num w:numId="21">
    <w:abstractNumId w:val="10"/>
  </w:num>
  <w:num w:numId="22">
    <w:abstractNumId w:val="0"/>
  </w:num>
  <w:num w:numId="23">
    <w:abstractNumId w:val="24"/>
  </w:num>
  <w:num w:numId="24">
    <w:abstractNumId w:val="7"/>
  </w:num>
  <w:num w:numId="25">
    <w:abstractNumId w:val="21"/>
  </w:num>
  <w:num w:numId="26">
    <w:abstractNumId w:val="23"/>
  </w:num>
  <w:num w:numId="27">
    <w:abstractNumId w:val="9"/>
  </w:num>
  <w:num w:numId="2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11AE"/>
    <w:rsid w:val="00003F83"/>
    <w:rsid w:val="000061E1"/>
    <w:rsid w:val="000076B4"/>
    <w:rsid w:val="0000781B"/>
    <w:rsid w:val="00010BC8"/>
    <w:rsid w:val="00011332"/>
    <w:rsid w:val="00026135"/>
    <w:rsid w:val="00030555"/>
    <w:rsid w:val="000317FC"/>
    <w:rsid w:val="000338CA"/>
    <w:rsid w:val="00034D12"/>
    <w:rsid w:val="0003506A"/>
    <w:rsid w:val="00035C34"/>
    <w:rsid w:val="00042189"/>
    <w:rsid w:val="000463BA"/>
    <w:rsid w:val="00046501"/>
    <w:rsid w:val="000508A0"/>
    <w:rsid w:val="000534EF"/>
    <w:rsid w:val="0006296C"/>
    <w:rsid w:val="0006507E"/>
    <w:rsid w:val="00071095"/>
    <w:rsid w:val="00072C30"/>
    <w:rsid w:val="0007688C"/>
    <w:rsid w:val="00085850"/>
    <w:rsid w:val="000871D6"/>
    <w:rsid w:val="00091C90"/>
    <w:rsid w:val="00092639"/>
    <w:rsid w:val="00096816"/>
    <w:rsid w:val="000975FC"/>
    <w:rsid w:val="00097815"/>
    <w:rsid w:val="000A39DB"/>
    <w:rsid w:val="000A4965"/>
    <w:rsid w:val="000A5F98"/>
    <w:rsid w:val="000A70D3"/>
    <w:rsid w:val="000A7423"/>
    <w:rsid w:val="000B3860"/>
    <w:rsid w:val="000B4FE9"/>
    <w:rsid w:val="000C4EBE"/>
    <w:rsid w:val="000C7134"/>
    <w:rsid w:val="000D02FA"/>
    <w:rsid w:val="000D07E6"/>
    <w:rsid w:val="000E3434"/>
    <w:rsid w:val="000E5FFB"/>
    <w:rsid w:val="000E6654"/>
    <w:rsid w:val="000E77F5"/>
    <w:rsid w:val="000F0474"/>
    <w:rsid w:val="000F4684"/>
    <w:rsid w:val="000F5E1B"/>
    <w:rsid w:val="00100F9C"/>
    <w:rsid w:val="00101CF1"/>
    <w:rsid w:val="001054D1"/>
    <w:rsid w:val="001135E0"/>
    <w:rsid w:val="001143E6"/>
    <w:rsid w:val="001152F6"/>
    <w:rsid w:val="00116529"/>
    <w:rsid w:val="001179C3"/>
    <w:rsid w:val="00120080"/>
    <w:rsid w:val="0012260E"/>
    <w:rsid w:val="00126141"/>
    <w:rsid w:val="00133819"/>
    <w:rsid w:val="0013414F"/>
    <w:rsid w:val="00135DEB"/>
    <w:rsid w:val="00137061"/>
    <w:rsid w:val="00140417"/>
    <w:rsid w:val="00140541"/>
    <w:rsid w:val="00150B4F"/>
    <w:rsid w:val="0015339C"/>
    <w:rsid w:val="0016283B"/>
    <w:rsid w:val="0016590D"/>
    <w:rsid w:val="001661A2"/>
    <w:rsid w:val="00170443"/>
    <w:rsid w:val="00170EBA"/>
    <w:rsid w:val="00171681"/>
    <w:rsid w:val="001717DE"/>
    <w:rsid w:val="00176BAD"/>
    <w:rsid w:val="00177596"/>
    <w:rsid w:val="00180142"/>
    <w:rsid w:val="0018364D"/>
    <w:rsid w:val="001851C8"/>
    <w:rsid w:val="00185D07"/>
    <w:rsid w:val="00194D67"/>
    <w:rsid w:val="00196A35"/>
    <w:rsid w:val="001970A3"/>
    <w:rsid w:val="001A02AF"/>
    <w:rsid w:val="001A6B4E"/>
    <w:rsid w:val="001B51DC"/>
    <w:rsid w:val="001B5CFA"/>
    <w:rsid w:val="001B7495"/>
    <w:rsid w:val="001C42B6"/>
    <w:rsid w:val="001C4BF9"/>
    <w:rsid w:val="001C5658"/>
    <w:rsid w:val="001C5A47"/>
    <w:rsid w:val="001D1036"/>
    <w:rsid w:val="001E20C8"/>
    <w:rsid w:val="001E56A3"/>
    <w:rsid w:val="001E5A26"/>
    <w:rsid w:val="001E79F7"/>
    <w:rsid w:val="001F0FD4"/>
    <w:rsid w:val="001F221E"/>
    <w:rsid w:val="001F2F77"/>
    <w:rsid w:val="001F2F8F"/>
    <w:rsid w:val="001F30FE"/>
    <w:rsid w:val="001F585B"/>
    <w:rsid w:val="00202FF5"/>
    <w:rsid w:val="00204EDD"/>
    <w:rsid w:val="0020747F"/>
    <w:rsid w:val="00211FF0"/>
    <w:rsid w:val="00215AFF"/>
    <w:rsid w:val="002171DF"/>
    <w:rsid w:val="00220996"/>
    <w:rsid w:val="002209A0"/>
    <w:rsid w:val="00221332"/>
    <w:rsid w:val="002219F0"/>
    <w:rsid w:val="00224F1D"/>
    <w:rsid w:val="00226E2B"/>
    <w:rsid w:val="00234547"/>
    <w:rsid w:val="00237098"/>
    <w:rsid w:val="0023726A"/>
    <w:rsid w:val="00242C24"/>
    <w:rsid w:val="0024369F"/>
    <w:rsid w:val="00243D3D"/>
    <w:rsid w:val="002446B6"/>
    <w:rsid w:val="002456E8"/>
    <w:rsid w:val="002531A4"/>
    <w:rsid w:val="00264B5F"/>
    <w:rsid w:val="00266ACE"/>
    <w:rsid w:val="0028124E"/>
    <w:rsid w:val="00283036"/>
    <w:rsid w:val="00284966"/>
    <w:rsid w:val="0028533C"/>
    <w:rsid w:val="002862CA"/>
    <w:rsid w:val="0029046C"/>
    <w:rsid w:val="00292B72"/>
    <w:rsid w:val="0029309D"/>
    <w:rsid w:val="0029523D"/>
    <w:rsid w:val="002A3E7A"/>
    <w:rsid w:val="002A7FD4"/>
    <w:rsid w:val="002B1819"/>
    <w:rsid w:val="002B3E37"/>
    <w:rsid w:val="002B7A48"/>
    <w:rsid w:val="002B7D02"/>
    <w:rsid w:val="002C35A6"/>
    <w:rsid w:val="002C4A36"/>
    <w:rsid w:val="002C4F61"/>
    <w:rsid w:val="002C7EC5"/>
    <w:rsid w:val="002D2DF3"/>
    <w:rsid w:val="002D57F0"/>
    <w:rsid w:val="002D5BB3"/>
    <w:rsid w:val="002D7802"/>
    <w:rsid w:val="002E31AB"/>
    <w:rsid w:val="002F1F46"/>
    <w:rsid w:val="002F4968"/>
    <w:rsid w:val="002F5812"/>
    <w:rsid w:val="002F5F0A"/>
    <w:rsid w:val="0030011D"/>
    <w:rsid w:val="00302120"/>
    <w:rsid w:val="00302655"/>
    <w:rsid w:val="003035F0"/>
    <w:rsid w:val="00304350"/>
    <w:rsid w:val="00305B6C"/>
    <w:rsid w:val="00313904"/>
    <w:rsid w:val="00316E97"/>
    <w:rsid w:val="0032099D"/>
    <w:rsid w:val="00323A3F"/>
    <w:rsid w:val="00324B47"/>
    <w:rsid w:val="00324D26"/>
    <w:rsid w:val="0032706C"/>
    <w:rsid w:val="003346E4"/>
    <w:rsid w:val="00341C57"/>
    <w:rsid w:val="00343B4B"/>
    <w:rsid w:val="003446C4"/>
    <w:rsid w:val="00344D29"/>
    <w:rsid w:val="00347FFC"/>
    <w:rsid w:val="00350734"/>
    <w:rsid w:val="00353DE0"/>
    <w:rsid w:val="003651F7"/>
    <w:rsid w:val="00370D72"/>
    <w:rsid w:val="00377018"/>
    <w:rsid w:val="00382A70"/>
    <w:rsid w:val="003848C9"/>
    <w:rsid w:val="003848E1"/>
    <w:rsid w:val="003868CF"/>
    <w:rsid w:val="00391ACC"/>
    <w:rsid w:val="003935D0"/>
    <w:rsid w:val="00394C6C"/>
    <w:rsid w:val="003A1663"/>
    <w:rsid w:val="003A2A0A"/>
    <w:rsid w:val="003A650C"/>
    <w:rsid w:val="003C3CF0"/>
    <w:rsid w:val="003D1ADA"/>
    <w:rsid w:val="003D2D43"/>
    <w:rsid w:val="003D31AF"/>
    <w:rsid w:val="003D6D69"/>
    <w:rsid w:val="003E571B"/>
    <w:rsid w:val="003F237B"/>
    <w:rsid w:val="003F2608"/>
    <w:rsid w:val="003F41F5"/>
    <w:rsid w:val="003F7846"/>
    <w:rsid w:val="004003BC"/>
    <w:rsid w:val="004027E9"/>
    <w:rsid w:val="00411075"/>
    <w:rsid w:val="00412364"/>
    <w:rsid w:val="00414D7F"/>
    <w:rsid w:val="00415A45"/>
    <w:rsid w:val="00415E0B"/>
    <w:rsid w:val="00420339"/>
    <w:rsid w:val="004215DB"/>
    <w:rsid w:val="00422689"/>
    <w:rsid w:val="004248B5"/>
    <w:rsid w:val="0042624E"/>
    <w:rsid w:val="004267B3"/>
    <w:rsid w:val="0043014E"/>
    <w:rsid w:val="0043027E"/>
    <w:rsid w:val="00430392"/>
    <w:rsid w:val="004307BC"/>
    <w:rsid w:val="00431B45"/>
    <w:rsid w:val="00432239"/>
    <w:rsid w:val="0043305A"/>
    <w:rsid w:val="00434F47"/>
    <w:rsid w:val="004427B3"/>
    <w:rsid w:val="00446C93"/>
    <w:rsid w:val="00453E66"/>
    <w:rsid w:val="00454CB1"/>
    <w:rsid w:val="00454F5D"/>
    <w:rsid w:val="004607F9"/>
    <w:rsid w:val="00463E85"/>
    <w:rsid w:val="00466416"/>
    <w:rsid w:val="00466917"/>
    <w:rsid w:val="00482FE5"/>
    <w:rsid w:val="00484A0D"/>
    <w:rsid w:val="0048682E"/>
    <w:rsid w:val="00490A20"/>
    <w:rsid w:val="004921AE"/>
    <w:rsid w:val="00496E8C"/>
    <w:rsid w:val="00497C1D"/>
    <w:rsid w:val="00497D18"/>
    <w:rsid w:val="004A0752"/>
    <w:rsid w:val="004A2A38"/>
    <w:rsid w:val="004B206B"/>
    <w:rsid w:val="004B233F"/>
    <w:rsid w:val="004B3D93"/>
    <w:rsid w:val="004C3ABF"/>
    <w:rsid w:val="004D6D12"/>
    <w:rsid w:val="004E12BE"/>
    <w:rsid w:val="004E22B3"/>
    <w:rsid w:val="004E2D7B"/>
    <w:rsid w:val="004E4271"/>
    <w:rsid w:val="004E5FFF"/>
    <w:rsid w:val="004E7164"/>
    <w:rsid w:val="004E7BB1"/>
    <w:rsid w:val="004F3FDB"/>
    <w:rsid w:val="004F4F94"/>
    <w:rsid w:val="004F7BED"/>
    <w:rsid w:val="00502106"/>
    <w:rsid w:val="00502C46"/>
    <w:rsid w:val="00505A29"/>
    <w:rsid w:val="00505D62"/>
    <w:rsid w:val="00506BED"/>
    <w:rsid w:val="0050707C"/>
    <w:rsid w:val="00510356"/>
    <w:rsid w:val="00514E28"/>
    <w:rsid w:val="00520BD9"/>
    <w:rsid w:val="0052100B"/>
    <w:rsid w:val="0052119A"/>
    <w:rsid w:val="00523698"/>
    <w:rsid w:val="00525A87"/>
    <w:rsid w:val="00525C5A"/>
    <w:rsid w:val="00533A85"/>
    <w:rsid w:val="00535FFD"/>
    <w:rsid w:val="005444F2"/>
    <w:rsid w:val="00553C1C"/>
    <w:rsid w:val="0055469B"/>
    <w:rsid w:val="00555913"/>
    <w:rsid w:val="00563142"/>
    <w:rsid w:val="005702B7"/>
    <w:rsid w:val="005712BC"/>
    <w:rsid w:val="0057327D"/>
    <w:rsid w:val="00574FB1"/>
    <w:rsid w:val="005754B6"/>
    <w:rsid w:val="005775C4"/>
    <w:rsid w:val="00581386"/>
    <w:rsid w:val="00584CA1"/>
    <w:rsid w:val="00584D69"/>
    <w:rsid w:val="005852B8"/>
    <w:rsid w:val="005861C0"/>
    <w:rsid w:val="005903A9"/>
    <w:rsid w:val="00595431"/>
    <w:rsid w:val="005A0BE1"/>
    <w:rsid w:val="005A3441"/>
    <w:rsid w:val="005A4B50"/>
    <w:rsid w:val="005A4E38"/>
    <w:rsid w:val="005A4E46"/>
    <w:rsid w:val="005A7313"/>
    <w:rsid w:val="005B3392"/>
    <w:rsid w:val="005B6ADC"/>
    <w:rsid w:val="005B78D4"/>
    <w:rsid w:val="005C0BBB"/>
    <w:rsid w:val="005C1FEA"/>
    <w:rsid w:val="005C505B"/>
    <w:rsid w:val="005D19AF"/>
    <w:rsid w:val="005D286D"/>
    <w:rsid w:val="005D446E"/>
    <w:rsid w:val="005E73CA"/>
    <w:rsid w:val="005F0E41"/>
    <w:rsid w:val="005F6F53"/>
    <w:rsid w:val="006025EB"/>
    <w:rsid w:val="0060476C"/>
    <w:rsid w:val="0060623D"/>
    <w:rsid w:val="006109EB"/>
    <w:rsid w:val="00611D36"/>
    <w:rsid w:val="00616FF3"/>
    <w:rsid w:val="00617037"/>
    <w:rsid w:val="006234A2"/>
    <w:rsid w:val="00632AAF"/>
    <w:rsid w:val="00634B3F"/>
    <w:rsid w:val="006358EC"/>
    <w:rsid w:val="006406A1"/>
    <w:rsid w:val="0064122B"/>
    <w:rsid w:val="00642AA3"/>
    <w:rsid w:val="006442B4"/>
    <w:rsid w:val="006449FD"/>
    <w:rsid w:val="00645272"/>
    <w:rsid w:val="00654C07"/>
    <w:rsid w:val="006647A5"/>
    <w:rsid w:val="00664EEB"/>
    <w:rsid w:val="00666D3B"/>
    <w:rsid w:val="00670207"/>
    <w:rsid w:val="00675D3C"/>
    <w:rsid w:val="006861D0"/>
    <w:rsid w:val="0068688C"/>
    <w:rsid w:val="00687562"/>
    <w:rsid w:val="00690D1E"/>
    <w:rsid w:val="00693685"/>
    <w:rsid w:val="006967EB"/>
    <w:rsid w:val="006A0E57"/>
    <w:rsid w:val="006A2B1F"/>
    <w:rsid w:val="006A32BD"/>
    <w:rsid w:val="006A3969"/>
    <w:rsid w:val="006A3E2C"/>
    <w:rsid w:val="006A6ED2"/>
    <w:rsid w:val="006B0DEE"/>
    <w:rsid w:val="006B57A7"/>
    <w:rsid w:val="006C04E2"/>
    <w:rsid w:val="006C37AD"/>
    <w:rsid w:val="006C569B"/>
    <w:rsid w:val="006D0AD2"/>
    <w:rsid w:val="006D1DC7"/>
    <w:rsid w:val="006D7A93"/>
    <w:rsid w:val="006E2274"/>
    <w:rsid w:val="006E2BDB"/>
    <w:rsid w:val="006E4984"/>
    <w:rsid w:val="006E59E3"/>
    <w:rsid w:val="006F2BAB"/>
    <w:rsid w:val="006F5880"/>
    <w:rsid w:val="007033C3"/>
    <w:rsid w:val="007117B6"/>
    <w:rsid w:val="007122EB"/>
    <w:rsid w:val="00712945"/>
    <w:rsid w:val="00714184"/>
    <w:rsid w:val="007155A1"/>
    <w:rsid w:val="00717E81"/>
    <w:rsid w:val="00721930"/>
    <w:rsid w:val="00725FF5"/>
    <w:rsid w:val="00726841"/>
    <w:rsid w:val="00732780"/>
    <w:rsid w:val="00735712"/>
    <w:rsid w:val="00737F6D"/>
    <w:rsid w:val="00740CE2"/>
    <w:rsid w:val="007418D4"/>
    <w:rsid w:val="00742BAE"/>
    <w:rsid w:val="00754CB1"/>
    <w:rsid w:val="00755651"/>
    <w:rsid w:val="0075605A"/>
    <w:rsid w:val="00771098"/>
    <w:rsid w:val="007774B3"/>
    <w:rsid w:val="007A0C23"/>
    <w:rsid w:val="007A1CCC"/>
    <w:rsid w:val="007A31AB"/>
    <w:rsid w:val="007A3AFB"/>
    <w:rsid w:val="007A4046"/>
    <w:rsid w:val="007B1165"/>
    <w:rsid w:val="007B2E7A"/>
    <w:rsid w:val="007B4048"/>
    <w:rsid w:val="007B64C6"/>
    <w:rsid w:val="007C4084"/>
    <w:rsid w:val="007C6E16"/>
    <w:rsid w:val="007D084C"/>
    <w:rsid w:val="007D48D1"/>
    <w:rsid w:val="007D52D7"/>
    <w:rsid w:val="007D58B5"/>
    <w:rsid w:val="007E1737"/>
    <w:rsid w:val="007E1F7F"/>
    <w:rsid w:val="007E605E"/>
    <w:rsid w:val="007E7D5F"/>
    <w:rsid w:val="007F20BA"/>
    <w:rsid w:val="00801BDF"/>
    <w:rsid w:val="008113E5"/>
    <w:rsid w:val="008131E4"/>
    <w:rsid w:val="008206C6"/>
    <w:rsid w:val="00824C96"/>
    <w:rsid w:val="0083416F"/>
    <w:rsid w:val="008352C4"/>
    <w:rsid w:val="00837F47"/>
    <w:rsid w:val="0084004A"/>
    <w:rsid w:val="008468FB"/>
    <w:rsid w:val="0084704D"/>
    <w:rsid w:val="00853546"/>
    <w:rsid w:val="008578F7"/>
    <w:rsid w:val="00860A8E"/>
    <w:rsid w:val="0086130F"/>
    <w:rsid w:val="00863FA7"/>
    <w:rsid w:val="00870F31"/>
    <w:rsid w:val="008720E3"/>
    <w:rsid w:val="00872420"/>
    <w:rsid w:val="0087294C"/>
    <w:rsid w:val="00873415"/>
    <w:rsid w:val="0087359A"/>
    <w:rsid w:val="008738B0"/>
    <w:rsid w:val="008800FD"/>
    <w:rsid w:val="008839BB"/>
    <w:rsid w:val="00891DC8"/>
    <w:rsid w:val="00892298"/>
    <w:rsid w:val="0089294C"/>
    <w:rsid w:val="00894E80"/>
    <w:rsid w:val="008952D8"/>
    <w:rsid w:val="00895F13"/>
    <w:rsid w:val="008A2346"/>
    <w:rsid w:val="008B3D0B"/>
    <w:rsid w:val="008B4519"/>
    <w:rsid w:val="008B6D0F"/>
    <w:rsid w:val="008B7D14"/>
    <w:rsid w:val="008C2637"/>
    <w:rsid w:val="008C550E"/>
    <w:rsid w:val="008D174C"/>
    <w:rsid w:val="008D201E"/>
    <w:rsid w:val="008D297F"/>
    <w:rsid w:val="008D45CB"/>
    <w:rsid w:val="008E3E26"/>
    <w:rsid w:val="008F42C9"/>
    <w:rsid w:val="008F683B"/>
    <w:rsid w:val="00902154"/>
    <w:rsid w:val="00903E71"/>
    <w:rsid w:val="00904B2C"/>
    <w:rsid w:val="009107CC"/>
    <w:rsid w:val="00911000"/>
    <w:rsid w:val="00911015"/>
    <w:rsid w:val="00915E52"/>
    <w:rsid w:val="00921349"/>
    <w:rsid w:val="00922D22"/>
    <w:rsid w:val="00926BFA"/>
    <w:rsid w:val="00933B30"/>
    <w:rsid w:val="009342FE"/>
    <w:rsid w:val="009379A1"/>
    <w:rsid w:val="00942DE7"/>
    <w:rsid w:val="0094678E"/>
    <w:rsid w:val="0095456B"/>
    <w:rsid w:val="009601C0"/>
    <w:rsid w:val="00961FE8"/>
    <w:rsid w:val="00962A82"/>
    <w:rsid w:val="00962CB8"/>
    <w:rsid w:val="00966783"/>
    <w:rsid w:val="009671F5"/>
    <w:rsid w:val="00970D71"/>
    <w:rsid w:val="00973F3D"/>
    <w:rsid w:val="0097680A"/>
    <w:rsid w:val="00976EBD"/>
    <w:rsid w:val="009850BD"/>
    <w:rsid w:val="00985CA5"/>
    <w:rsid w:val="00987383"/>
    <w:rsid w:val="009910F2"/>
    <w:rsid w:val="00992666"/>
    <w:rsid w:val="00993BE3"/>
    <w:rsid w:val="00993E5E"/>
    <w:rsid w:val="00994873"/>
    <w:rsid w:val="009949BD"/>
    <w:rsid w:val="00995343"/>
    <w:rsid w:val="00996ABD"/>
    <w:rsid w:val="009A68E7"/>
    <w:rsid w:val="009A6D94"/>
    <w:rsid w:val="009C0BD6"/>
    <w:rsid w:val="009C6B2A"/>
    <w:rsid w:val="009D3969"/>
    <w:rsid w:val="009D3B32"/>
    <w:rsid w:val="009D502F"/>
    <w:rsid w:val="009D6150"/>
    <w:rsid w:val="009D6E72"/>
    <w:rsid w:val="009E256E"/>
    <w:rsid w:val="009E3BEB"/>
    <w:rsid w:val="009E7845"/>
    <w:rsid w:val="009F02CD"/>
    <w:rsid w:val="009F0302"/>
    <w:rsid w:val="009F2528"/>
    <w:rsid w:val="009F35AE"/>
    <w:rsid w:val="009F4486"/>
    <w:rsid w:val="00A0097C"/>
    <w:rsid w:val="00A00C95"/>
    <w:rsid w:val="00A025D2"/>
    <w:rsid w:val="00A02EE8"/>
    <w:rsid w:val="00A04187"/>
    <w:rsid w:val="00A07251"/>
    <w:rsid w:val="00A11C04"/>
    <w:rsid w:val="00A24B1F"/>
    <w:rsid w:val="00A25C92"/>
    <w:rsid w:val="00A267E6"/>
    <w:rsid w:val="00A36BD7"/>
    <w:rsid w:val="00A379ED"/>
    <w:rsid w:val="00A42F60"/>
    <w:rsid w:val="00A438FE"/>
    <w:rsid w:val="00A46DDA"/>
    <w:rsid w:val="00A47C55"/>
    <w:rsid w:val="00A50915"/>
    <w:rsid w:val="00A52F89"/>
    <w:rsid w:val="00A54761"/>
    <w:rsid w:val="00A54A68"/>
    <w:rsid w:val="00A62853"/>
    <w:rsid w:val="00A63251"/>
    <w:rsid w:val="00A63279"/>
    <w:rsid w:val="00A654A8"/>
    <w:rsid w:val="00A65DAA"/>
    <w:rsid w:val="00A67637"/>
    <w:rsid w:val="00A70281"/>
    <w:rsid w:val="00A80A45"/>
    <w:rsid w:val="00A82FDC"/>
    <w:rsid w:val="00A85F8C"/>
    <w:rsid w:val="00A87AC1"/>
    <w:rsid w:val="00A87DB5"/>
    <w:rsid w:val="00A911DF"/>
    <w:rsid w:val="00A91423"/>
    <w:rsid w:val="00A9243F"/>
    <w:rsid w:val="00A938C7"/>
    <w:rsid w:val="00A94BCF"/>
    <w:rsid w:val="00A95A3F"/>
    <w:rsid w:val="00A962C7"/>
    <w:rsid w:val="00AB0B61"/>
    <w:rsid w:val="00AB20AF"/>
    <w:rsid w:val="00AB2C26"/>
    <w:rsid w:val="00AB50AF"/>
    <w:rsid w:val="00AB6D7B"/>
    <w:rsid w:val="00AB772A"/>
    <w:rsid w:val="00AC0CE2"/>
    <w:rsid w:val="00AC155D"/>
    <w:rsid w:val="00AC274F"/>
    <w:rsid w:val="00AC4914"/>
    <w:rsid w:val="00AC51B1"/>
    <w:rsid w:val="00AC5440"/>
    <w:rsid w:val="00AD53CC"/>
    <w:rsid w:val="00AD6169"/>
    <w:rsid w:val="00AD69CE"/>
    <w:rsid w:val="00AE0547"/>
    <w:rsid w:val="00AE2FF9"/>
    <w:rsid w:val="00AE53B3"/>
    <w:rsid w:val="00B0041A"/>
    <w:rsid w:val="00B01A8C"/>
    <w:rsid w:val="00B041C3"/>
    <w:rsid w:val="00B12FBE"/>
    <w:rsid w:val="00B1387D"/>
    <w:rsid w:val="00B219D4"/>
    <w:rsid w:val="00B2202A"/>
    <w:rsid w:val="00B25149"/>
    <w:rsid w:val="00B25BDC"/>
    <w:rsid w:val="00B3090B"/>
    <w:rsid w:val="00B411BE"/>
    <w:rsid w:val="00B423AC"/>
    <w:rsid w:val="00B520BB"/>
    <w:rsid w:val="00B601F2"/>
    <w:rsid w:val="00B61566"/>
    <w:rsid w:val="00B6257E"/>
    <w:rsid w:val="00B62582"/>
    <w:rsid w:val="00B67DB3"/>
    <w:rsid w:val="00B71C38"/>
    <w:rsid w:val="00B7393F"/>
    <w:rsid w:val="00B749D0"/>
    <w:rsid w:val="00B7679B"/>
    <w:rsid w:val="00B86A42"/>
    <w:rsid w:val="00B87C5C"/>
    <w:rsid w:val="00B87ED2"/>
    <w:rsid w:val="00B923CE"/>
    <w:rsid w:val="00B934EB"/>
    <w:rsid w:val="00B93844"/>
    <w:rsid w:val="00B94423"/>
    <w:rsid w:val="00B95DB3"/>
    <w:rsid w:val="00B97438"/>
    <w:rsid w:val="00B97593"/>
    <w:rsid w:val="00BA0658"/>
    <w:rsid w:val="00BA340E"/>
    <w:rsid w:val="00BA4601"/>
    <w:rsid w:val="00BA5F13"/>
    <w:rsid w:val="00BB08A9"/>
    <w:rsid w:val="00BB2071"/>
    <w:rsid w:val="00BB286C"/>
    <w:rsid w:val="00BB3227"/>
    <w:rsid w:val="00BB5A78"/>
    <w:rsid w:val="00BB6D36"/>
    <w:rsid w:val="00BB7585"/>
    <w:rsid w:val="00BC0520"/>
    <w:rsid w:val="00BC0D19"/>
    <w:rsid w:val="00BD25F3"/>
    <w:rsid w:val="00BD7E5D"/>
    <w:rsid w:val="00BE5581"/>
    <w:rsid w:val="00BE6B06"/>
    <w:rsid w:val="00BE6B3D"/>
    <w:rsid w:val="00BF027D"/>
    <w:rsid w:val="00BF2E78"/>
    <w:rsid w:val="00BF5D5A"/>
    <w:rsid w:val="00C0090C"/>
    <w:rsid w:val="00C011AE"/>
    <w:rsid w:val="00C01FAC"/>
    <w:rsid w:val="00C1140A"/>
    <w:rsid w:val="00C220F4"/>
    <w:rsid w:val="00C235C2"/>
    <w:rsid w:val="00C26F82"/>
    <w:rsid w:val="00C30F81"/>
    <w:rsid w:val="00C3137F"/>
    <w:rsid w:val="00C460FA"/>
    <w:rsid w:val="00C55A29"/>
    <w:rsid w:val="00C55D4D"/>
    <w:rsid w:val="00C569ED"/>
    <w:rsid w:val="00C57D02"/>
    <w:rsid w:val="00C635C6"/>
    <w:rsid w:val="00C64F1D"/>
    <w:rsid w:val="00C71EEB"/>
    <w:rsid w:val="00C71FF3"/>
    <w:rsid w:val="00C74D3B"/>
    <w:rsid w:val="00C74E95"/>
    <w:rsid w:val="00C80F50"/>
    <w:rsid w:val="00C8345E"/>
    <w:rsid w:val="00C851C2"/>
    <w:rsid w:val="00C918ED"/>
    <w:rsid w:val="00C91C51"/>
    <w:rsid w:val="00C944E1"/>
    <w:rsid w:val="00CA0211"/>
    <w:rsid w:val="00CA0484"/>
    <w:rsid w:val="00CA2386"/>
    <w:rsid w:val="00CA25B2"/>
    <w:rsid w:val="00CA62AA"/>
    <w:rsid w:val="00CA669E"/>
    <w:rsid w:val="00CA7725"/>
    <w:rsid w:val="00CB275D"/>
    <w:rsid w:val="00CB79F9"/>
    <w:rsid w:val="00CC71D5"/>
    <w:rsid w:val="00CD1AC4"/>
    <w:rsid w:val="00CD6D99"/>
    <w:rsid w:val="00CE003E"/>
    <w:rsid w:val="00CE2250"/>
    <w:rsid w:val="00CE3EE1"/>
    <w:rsid w:val="00CF0D7F"/>
    <w:rsid w:val="00CF2E98"/>
    <w:rsid w:val="00CF5704"/>
    <w:rsid w:val="00CF6324"/>
    <w:rsid w:val="00D008A9"/>
    <w:rsid w:val="00D01467"/>
    <w:rsid w:val="00D0371B"/>
    <w:rsid w:val="00D03DDD"/>
    <w:rsid w:val="00D04CCB"/>
    <w:rsid w:val="00D06586"/>
    <w:rsid w:val="00D06743"/>
    <w:rsid w:val="00D06C12"/>
    <w:rsid w:val="00D06CCC"/>
    <w:rsid w:val="00D07E76"/>
    <w:rsid w:val="00D13CF0"/>
    <w:rsid w:val="00D152CE"/>
    <w:rsid w:val="00D157BD"/>
    <w:rsid w:val="00D15DB7"/>
    <w:rsid w:val="00D16A3D"/>
    <w:rsid w:val="00D16ECA"/>
    <w:rsid w:val="00D236AD"/>
    <w:rsid w:val="00D26E5E"/>
    <w:rsid w:val="00D30D20"/>
    <w:rsid w:val="00D3287B"/>
    <w:rsid w:val="00D378F1"/>
    <w:rsid w:val="00D37F81"/>
    <w:rsid w:val="00D414E3"/>
    <w:rsid w:val="00D501C6"/>
    <w:rsid w:val="00D50D86"/>
    <w:rsid w:val="00D57DF8"/>
    <w:rsid w:val="00D6520D"/>
    <w:rsid w:val="00D654E7"/>
    <w:rsid w:val="00D65CBA"/>
    <w:rsid w:val="00D72A12"/>
    <w:rsid w:val="00D756AA"/>
    <w:rsid w:val="00D842C5"/>
    <w:rsid w:val="00D8556D"/>
    <w:rsid w:val="00D87897"/>
    <w:rsid w:val="00D911E8"/>
    <w:rsid w:val="00DA3AEC"/>
    <w:rsid w:val="00DA68D4"/>
    <w:rsid w:val="00DB1783"/>
    <w:rsid w:val="00DB71FE"/>
    <w:rsid w:val="00DC4272"/>
    <w:rsid w:val="00DD0E3E"/>
    <w:rsid w:val="00DD23EE"/>
    <w:rsid w:val="00DD2E10"/>
    <w:rsid w:val="00DD3080"/>
    <w:rsid w:val="00DE6E19"/>
    <w:rsid w:val="00DE7159"/>
    <w:rsid w:val="00DE77CD"/>
    <w:rsid w:val="00DE798F"/>
    <w:rsid w:val="00DE7B4D"/>
    <w:rsid w:val="00DF0597"/>
    <w:rsid w:val="00DF2D88"/>
    <w:rsid w:val="00DF50FE"/>
    <w:rsid w:val="00E0437F"/>
    <w:rsid w:val="00E07E23"/>
    <w:rsid w:val="00E13296"/>
    <w:rsid w:val="00E14F02"/>
    <w:rsid w:val="00E15497"/>
    <w:rsid w:val="00E17A51"/>
    <w:rsid w:val="00E2015C"/>
    <w:rsid w:val="00E21297"/>
    <w:rsid w:val="00E22D25"/>
    <w:rsid w:val="00E2458E"/>
    <w:rsid w:val="00E2780C"/>
    <w:rsid w:val="00E278F6"/>
    <w:rsid w:val="00E3601A"/>
    <w:rsid w:val="00E4523D"/>
    <w:rsid w:val="00E47338"/>
    <w:rsid w:val="00E47904"/>
    <w:rsid w:val="00E47B09"/>
    <w:rsid w:val="00E5102E"/>
    <w:rsid w:val="00E5439F"/>
    <w:rsid w:val="00E575E4"/>
    <w:rsid w:val="00E610CD"/>
    <w:rsid w:val="00E615B3"/>
    <w:rsid w:val="00E63647"/>
    <w:rsid w:val="00E649B4"/>
    <w:rsid w:val="00E6778F"/>
    <w:rsid w:val="00E7189D"/>
    <w:rsid w:val="00E721CE"/>
    <w:rsid w:val="00E91FAF"/>
    <w:rsid w:val="00E91FC9"/>
    <w:rsid w:val="00E958ED"/>
    <w:rsid w:val="00EA294E"/>
    <w:rsid w:val="00EA2F70"/>
    <w:rsid w:val="00EA49A6"/>
    <w:rsid w:val="00EA52D8"/>
    <w:rsid w:val="00EA751C"/>
    <w:rsid w:val="00EB0097"/>
    <w:rsid w:val="00EB1AC4"/>
    <w:rsid w:val="00EB2FB8"/>
    <w:rsid w:val="00EB3001"/>
    <w:rsid w:val="00EB58E3"/>
    <w:rsid w:val="00EC79D9"/>
    <w:rsid w:val="00EC7FAB"/>
    <w:rsid w:val="00ED317D"/>
    <w:rsid w:val="00ED5077"/>
    <w:rsid w:val="00ED65C1"/>
    <w:rsid w:val="00EE1353"/>
    <w:rsid w:val="00EE5191"/>
    <w:rsid w:val="00EE7125"/>
    <w:rsid w:val="00EF0ADC"/>
    <w:rsid w:val="00EF1497"/>
    <w:rsid w:val="00EF7EB7"/>
    <w:rsid w:val="00F00A31"/>
    <w:rsid w:val="00F00B1E"/>
    <w:rsid w:val="00F03EBE"/>
    <w:rsid w:val="00F04FE4"/>
    <w:rsid w:val="00F11E3B"/>
    <w:rsid w:val="00F15F1C"/>
    <w:rsid w:val="00F21B6C"/>
    <w:rsid w:val="00F30A37"/>
    <w:rsid w:val="00F3173A"/>
    <w:rsid w:val="00F40886"/>
    <w:rsid w:val="00F41CFD"/>
    <w:rsid w:val="00F51858"/>
    <w:rsid w:val="00F5222D"/>
    <w:rsid w:val="00F53DD3"/>
    <w:rsid w:val="00F567DC"/>
    <w:rsid w:val="00F57D58"/>
    <w:rsid w:val="00F600AC"/>
    <w:rsid w:val="00F61D2B"/>
    <w:rsid w:val="00F62152"/>
    <w:rsid w:val="00F642EF"/>
    <w:rsid w:val="00F64F35"/>
    <w:rsid w:val="00F72074"/>
    <w:rsid w:val="00F76AB8"/>
    <w:rsid w:val="00F823F7"/>
    <w:rsid w:val="00F825C3"/>
    <w:rsid w:val="00F82F82"/>
    <w:rsid w:val="00F9288A"/>
    <w:rsid w:val="00F952D4"/>
    <w:rsid w:val="00F96535"/>
    <w:rsid w:val="00F97FA1"/>
    <w:rsid w:val="00FA028A"/>
    <w:rsid w:val="00FA136D"/>
    <w:rsid w:val="00FA1F55"/>
    <w:rsid w:val="00FA3E4E"/>
    <w:rsid w:val="00FA4C40"/>
    <w:rsid w:val="00FA6F43"/>
    <w:rsid w:val="00FB18B6"/>
    <w:rsid w:val="00FB2068"/>
    <w:rsid w:val="00FB2996"/>
    <w:rsid w:val="00FB3F81"/>
    <w:rsid w:val="00FB7D06"/>
    <w:rsid w:val="00FC0D80"/>
    <w:rsid w:val="00FC0F9D"/>
    <w:rsid w:val="00FC55D9"/>
    <w:rsid w:val="00FC797E"/>
    <w:rsid w:val="00FD16AC"/>
    <w:rsid w:val="00FD5FDA"/>
    <w:rsid w:val="00FE0415"/>
    <w:rsid w:val="00FE3BF8"/>
    <w:rsid w:val="00FF1146"/>
    <w:rsid w:val="00FF3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CDC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F0FD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0FD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0F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Legal1">
    <w:name w:val="ME Legal 1"/>
    <w:basedOn w:val="Normal"/>
    <w:rsid w:val="000F4684"/>
    <w:pPr>
      <w:numPr>
        <w:numId w:val="3"/>
      </w:numPr>
      <w:spacing w:after="240"/>
      <w:outlineLvl w:val="0"/>
    </w:pPr>
    <w:rPr>
      <w:rFonts w:eastAsia="SimSun" w:cs="Angsana New"/>
      <w:lang w:eastAsia="zh-CN" w:bidi="th-TH"/>
    </w:rPr>
  </w:style>
  <w:style w:type="paragraph" w:customStyle="1" w:styleId="MELegal2">
    <w:name w:val="ME Legal 2"/>
    <w:basedOn w:val="Normal"/>
    <w:rsid w:val="000F4684"/>
    <w:pPr>
      <w:numPr>
        <w:ilvl w:val="1"/>
        <w:numId w:val="3"/>
      </w:numPr>
      <w:spacing w:after="240"/>
      <w:outlineLvl w:val="1"/>
    </w:pPr>
    <w:rPr>
      <w:rFonts w:eastAsia="SimSun" w:cs="Angsana New"/>
      <w:lang w:eastAsia="zh-CN" w:bidi="th-TH"/>
    </w:rPr>
  </w:style>
  <w:style w:type="paragraph" w:customStyle="1" w:styleId="MELegal3">
    <w:name w:val="ME Legal 3"/>
    <w:basedOn w:val="Normal"/>
    <w:rsid w:val="000F4684"/>
    <w:pPr>
      <w:numPr>
        <w:ilvl w:val="2"/>
        <w:numId w:val="3"/>
      </w:numPr>
      <w:spacing w:after="240"/>
      <w:outlineLvl w:val="2"/>
    </w:pPr>
    <w:rPr>
      <w:rFonts w:eastAsia="SimSun" w:cs="Angsana New"/>
      <w:lang w:eastAsia="zh-CN" w:bidi="th-TH"/>
    </w:rPr>
  </w:style>
  <w:style w:type="paragraph" w:customStyle="1" w:styleId="MELegal4">
    <w:name w:val="ME Legal 4"/>
    <w:basedOn w:val="Normal"/>
    <w:rsid w:val="000F4684"/>
    <w:pPr>
      <w:numPr>
        <w:ilvl w:val="3"/>
        <w:numId w:val="3"/>
      </w:numPr>
      <w:spacing w:after="240"/>
      <w:outlineLvl w:val="3"/>
    </w:pPr>
    <w:rPr>
      <w:rFonts w:eastAsia="SimSun" w:cs="Angsana New"/>
      <w:lang w:eastAsia="zh-CN" w:bidi="th-TH"/>
    </w:rPr>
  </w:style>
  <w:style w:type="paragraph" w:customStyle="1" w:styleId="MELegal5">
    <w:name w:val="ME Legal 5"/>
    <w:basedOn w:val="Normal"/>
    <w:rsid w:val="000F4684"/>
    <w:pPr>
      <w:numPr>
        <w:ilvl w:val="4"/>
        <w:numId w:val="3"/>
      </w:numPr>
      <w:spacing w:after="240"/>
      <w:outlineLvl w:val="4"/>
    </w:pPr>
    <w:rPr>
      <w:rFonts w:eastAsia="SimSun" w:cs="Angsana New"/>
      <w:lang w:eastAsia="zh-CN" w:bidi="th-TH"/>
    </w:rPr>
  </w:style>
  <w:style w:type="paragraph" w:customStyle="1" w:styleId="MELegal6">
    <w:name w:val="ME Legal 6"/>
    <w:basedOn w:val="Normal"/>
    <w:rsid w:val="000F4684"/>
    <w:pPr>
      <w:numPr>
        <w:ilvl w:val="5"/>
        <w:numId w:val="3"/>
      </w:numPr>
      <w:spacing w:after="240"/>
      <w:outlineLvl w:val="5"/>
    </w:pPr>
    <w:rPr>
      <w:rFonts w:eastAsia="SimSun" w:cs="Angsana New"/>
      <w:lang w:eastAsia="zh-CN" w:bidi="th-TH"/>
    </w:rPr>
  </w:style>
  <w:style w:type="character" w:styleId="Hyperlink">
    <w:name w:val="Hyperlink"/>
    <w:uiPriority w:val="99"/>
    <w:rsid w:val="000F4684"/>
    <w:rPr>
      <w:color w:val="0000FF"/>
      <w:u w:val="single"/>
    </w:rPr>
  </w:style>
  <w:style w:type="character" w:styleId="FollowedHyperlink">
    <w:name w:val="FollowedHyperlink"/>
    <w:rsid w:val="000F4684"/>
    <w:rPr>
      <w:color w:val="800080"/>
      <w:u w:val="single"/>
    </w:rPr>
  </w:style>
  <w:style w:type="paragraph" w:customStyle="1" w:styleId="subsection">
    <w:name w:val="subsection"/>
    <w:basedOn w:val="Normal"/>
    <w:rsid w:val="00E47338"/>
    <w:pPr>
      <w:spacing w:before="100" w:beforeAutospacing="1" w:after="100" w:afterAutospacing="1"/>
    </w:pPr>
    <w:rPr>
      <w:rFonts w:eastAsia="SimSun"/>
      <w:lang w:eastAsia="ja-JP" w:bidi="th-TH"/>
    </w:rPr>
  </w:style>
  <w:style w:type="character" w:styleId="FootnoteReference">
    <w:name w:val="footnote reference"/>
    <w:uiPriority w:val="99"/>
    <w:semiHidden/>
    <w:rsid w:val="00E47338"/>
    <w:rPr>
      <w:vertAlign w:val="superscript"/>
    </w:rPr>
  </w:style>
  <w:style w:type="paragraph" w:styleId="Header">
    <w:name w:val="header"/>
    <w:basedOn w:val="Normal"/>
    <w:rsid w:val="00ED65C1"/>
    <w:pPr>
      <w:tabs>
        <w:tab w:val="center" w:pos="4153"/>
        <w:tab w:val="right" w:pos="8306"/>
      </w:tabs>
    </w:pPr>
  </w:style>
  <w:style w:type="paragraph" w:styleId="Footer">
    <w:name w:val="footer"/>
    <w:basedOn w:val="Normal"/>
    <w:rsid w:val="00ED65C1"/>
    <w:pPr>
      <w:tabs>
        <w:tab w:val="center" w:pos="4153"/>
        <w:tab w:val="right" w:pos="8306"/>
      </w:tabs>
    </w:pPr>
  </w:style>
  <w:style w:type="character" w:styleId="PageNumber">
    <w:name w:val="page number"/>
    <w:basedOn w:val="DefaultParagraphFont"/>
    <w:rsid w:val="004C3ABF"/>
  </w:style>
  <w:style w:type="character" w:styleId="CommentReference">
    <w:name w:val="annotation reference"/>
    <w:rsid w:val="00AB6D7B"/>
    <w:rPr>
      <w:sz w:val="16"/>
      <w:szCs w:val="16"/>
    </w:rPr>
  </w:style>
  <w:style w:type="paragraph" w:styleId="CommentText">
    <w:name w:val="annotation text"/>
    <w:basedOn w:val="Normal"/>
    <w:link w:val="CommentTextChar"/>
    <w:rsid w:val="00AB6D7B"/>
    <w:rPr>
      <w:sz w:val="20"/>
      <w:szCs w:val="20"/>
    </w:rPr>
  </w:style>
  <w:style w:type="character" w:customStyle="1" w:styleId="CommentTextChar">
    <w:name w:val="Comment Text Char"/>
    <w:basedOn w:val="DefaultParagraphFont"/>
    <w:link w:val="CommentText"/>
    <w:rsid w:val="00AB6D7B"/>
  </w:style>
  <w:style w:type="paragraph" w:styleId="CommentSubject">
    <w:name w:val="annotation subject"/>
    <w:basedOn w:val="CommentText"/>
    <w:next w:val="CommentText"/>
    <w:link w:val="CommentSubjectChar"/>
    <w:rsid w:val="00AB6D7B"/>
    <w:rPr>
      <w:b/>
      <w:bCs/>
    </w:rPr>
  </w:style>
  <w:style w:type="character" w:customStyle="1" w:styleId="CommentSubjectChar">
    <w:name w:val="Comment Subject Char"/>
    <w:link w:val="CommentSubject"/>
    <w:rsid w:val="00AB6D7B"/>
    <w:rPr>
      <w:b/>
      <w:bCs/>
    </w:rPr>
  </w:style>
  <w:style w:type="paragraph" w:styleId="BalloonText">
    <w:name w:val="Balloon Text"/>
    <w:basedOn w:val="Normal"/>
    <w:link w:val="BalloonTextChar"/>
    <w:rsid w:val="00AB6D7B"/>
    <w:rPr>
      <w:rFonts w:ascii="Tahoma" w:hAnsi="Tahoma" w:cs="Tahoma"/>
      <w:sz w:val="16"/>
      <w:szCs w:val="16"/>
    </w:rPr>
  </w:style>
  <w:style w:type="character" w:customStyle="1" w:styleId="BalloonTextChar">
    <w:name w:val="Balloon Text Char"/>
    <w:link w:val="BalloonText"/>
    <w:rsid w:val="00AB6D7B"/>
    <w:rPr>
      <w:rFonts w:ascii="Tahoma" w:hAnsi="Tahoma" w:cs="Tahoma"/>
      <w:sz w:val="16"/>
      <w:szCs w:val="16"/>
    </w:rPr>
  </w:style>
  <w:style w:type="paragraph" w:styleId="ListParagraph">
    <w:name w:val="List Paragraph"/>
    <w:basedOn w:val="Normal"/>
    <w:uiPriority w:val="34"/>
    <w:qFormat/>
    <w:rsid w:val="00961FE8"/>
    <w:pPr>
      <w:ind w:left="720"/>
    </w:pPr>
  </w:style>
  <w:style w:type="paragraph" w:styleId="FootnoteText">
    <w:name w:val="footnote text"/>
    <w:basedOn w:val="Normal"/>
    <w:link w:val="FootnoteTextChar"/>
    <w:uiPriority w:val="99"/>
    <w:rsid w:val="00993BE3"/>
    <w:rPr>
      <w:sz w:val="20"/>
      <w:szCs w:val="20"/>
    </w:rPr>
  </w:style>
  <w:style w:type="character" w:customStyle="1" w:styleId="FootnoteTextChar">
    <w:name w:val="Footnote Text Char"/>
    <w:basedOn w:val="DefaultParagraphFont"/>
    <w:link w:val="FootnoteText"/>
    <w:uiPriority w:val="99"/>
    <w:rsid w:val="00993BE3"/>
  </w:style>
  <w:style w:type="paragraph" w:styleId="TOCHeading">
    <w:name w:val="TOC Heading"/>
    <w:basedOn w:val="Heading1"/>
    <w:next w:val="Normal"/>
    <w:uiPriority w:val="39"/>
    <w:semiHidden/>
    <w:unhideWhenUsed/>
    <w:qFormat/>
    <w:rsid w:val="001054D1"/>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3">
    <w:name w:val="toc 3"/>
    <w:basedOn w:val="Normal"/>
    <w:next w:val="Normal"/>
    <w:autoRedefine/>
    <w:uiPriority w:val="39"/>
    <w:rsid w:val="001054D1"/>
    <w:pPr>
      <w:ind w:left="480"/>
    </w:pPr>
  </w:style>
  <w:style w:type="paragraph" w:customStyle="1" w:styleId="constitutionpara">
    <w:name w:val="constitution para"/>
    <w:basedOn w:val="Normal"/>
    <w:rsid w:val="0052119A"/>
    <w:pPr>
      <w:keepNext/>
      <w:spacing w:before="240"/>
      <w:ind w:left="1321" w:right="78" w:hanging="482"/>
      <w:jc w:val="both"/>
    </w:pPr>
  </w:style>
  <w:style w:type="paragraph" w:customStyle="1" w:styleId="constitutionclauseheading">
    <w:name w:val="constitution clause heading"/>
    <w:basedOn w:val="Normal"/>
    <w:next w:val="constitutionclause"/>
    <w:rsid w:val="0052119A"/>
    <w:pPr>
      <w:keepNext/>
      <w:tabs>
        <w:tab w:val="left" w:pos="540"/>
      </w:tabs>
      <w:spacing w:before="240"/>
      <w:ind w:left="-74" w:right="78"/>
      <w:jc w:val="both"/>
    </w:pPr>
    <w:rPr>
      <w:b/>
      <w:i/>
    </w:rPr>
  </w:style>
  <w:style w:type="paragraph" w:customStyle="1" w:styleId="constitutionclause">
    <w:name w:val="constitution clause"/>
    <w:basedOn w:val="Normal"/>
    <w:rsid w:val="0052119A"/>
    <w:pPr>
      <w:tabs>
        <w:tab w:val="left" w:pos="540"/>
      </w:tabs>
      <w:spacing w:before="240"/>
      <w:ind w:left="720" w:right="78"/>
      <w:jc w:val="both"/>
    </w:pPr>
    <w:rPr>
      <w:iCs/>
    </w:rPr>
  </w:style>
  <w:style w:type="paragraph" w:customStyle="1" w:styleId="constitutionsubpara">
    <w:name w:val="constitution subpara"/>
    <w:basedOn w:val="constitutionpara"/>
    <w:rsid w:val="0052119A"/>
    <w:pPr>
      <w:ind w:left="2040" w:hanging="600"/>
    </w:pPr>
  </w:style>
  <w:style w:type="paragraph" w:customStyle="1" w:styleId="constitutionsubclause">
    <w:name w:val="constitution subclause"/>
    <w:basedOn w:val="constitutionclause"/>
    <w:rsid w:val="00EF0ADC"/>
    <w:pPr>
      <w:ind w:left="540" w:hanging="540"/>
    </w:pPr>
    <w:rPr>
      <w:bCs/>
    </w:rPr>
  </w:style>
  <w:style w:type="paragraph" w:styleId="Revision">
    <w:name w:val="Revision"/>
    <w:hidden/>
    <w:uiPriority w:val="99"/>
    <w:semiHidden/>
    <w:rsid w:val="008352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F0FD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0FD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0F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Legal1">
    <w:name w:val="ME Legal 1"/>
    <w:basedOn w:val="Normal"/>
    <w:rsid w:val="000F4684"/>
    <w:pPr>
      <w:numPr>
        <w:numId w:val="3"/>
      </w:numPr>
      <w:spacing w:after="240"/>
      <w:outlineLvl w:val="0"/>
    </w:pPr>
    <w:rPr>
      <w:rFonts w:eastAsia="SimSun" w:cs="Angsana New"/>
      <w:lang w:eastAsia="zh-CN" w:bidi="th-TH"/>
    </w:rPr>
  </w:style>
  <w:style w:type="paragraph" w:customStyle="1" w:styleId="MELegal2">
    <w:name w:val="ME Legal 2"/>
    <w:basedOn w:val="Normal"/>
    <w:rsid w:val="000F4684"/>
    <w:pPr>
      <w:numPr>
        <w:ilvl w:val="1"/>
        <w:numId w:val="3"/>
      </w:numPr>
      <w:spacing w:after="240"/>
      <w:outlineLvl w:val="1"/>
    </w:pPr>
    <w:rPr>
      <w:rFonts w:eastAsia="SimSun" w:cs="Angsana New"/>
      <w:lang w:eastAsia="zh-CN" w:bidi="th-TH"/>
    </w:rPr>
  </w:style>
  <w:style w:type="paragraph" w:customStyle="1" w:styleId="MELegal3">
    <w:name w:val="ME Legal 3"/>
    <w:basedOn w:val="Normal"/>
    <w:rsid w:val="000F4684"/>
    <w:pPr>
      <w:numPr>
        <w:ilvl w:val="2"/>
        <w:numId w:val="3"/>
      </w:numPr>
      <w:spacing w:after="240"/>
      <w:outlineLvl w:val="2"/>
    </w:pPr>
    <w:rPr>
      <w:rFonts w:eastAsia="SimSun" w:cs="Angsana New"/>
      <w:lang w:eastAsia="zh-CN" w:bidi="th-TH"/>
    </w:rPr>
  </w:style>
  <w:style w:type="paragraph" w:customStyle="1" w:styleId="MELegal4">
    <w:name w:val="ME Legal 4"/>
    <w:basedOn w:val="Normal"/>
    <w:rsid w:val="000F4684"/>
    <w:pPr>
      <w:numPr>
        <w:ilvl w:val="3"/>
        <w:numId w:val="3"/>
      </w:numPr>
      <w:spacing w:after="240"/>
      <w:outlineLvl w:val="3"/>
    </w:pPr>
    <w:rPr>
      <w:rFonts w:eastAsia="SimSun" w:cs="Angsana New"/>
      <w:lang w:eastAsia="zh-CN" w:bidi="th-TH"/>
    </w:rPr>
  </w:style>
  <w:style w:type="paragraph" w:customStyle="1" w:styleId="MELegal5">
    <w:name w:val="ME Legal 5"/>
    <w:basedOn w:val="Normal"/>
    <w:rsid w:val="000F4684"/>
    <w:pPr>
      <w:numPr>
        <w:ilvl w:val="4"/>
        <w:numId w:val="3"/>
      </w:numPr>
      <w:spacing w:after="240"/>
      <w:outlineLvl w:val="4"/>
    </w:pPr>
    <w:rPr>
      <w:rFonts w:eastAsia="SimSun" w:cs="Angsana New"/>
      <w:lang w:eastAsia="zh-CN" w:bidi="th-TH"/>
    </w:rPr>
  </w:style>
  <w:style w:type="paragraph" w:customStyle="1" w:styleId="MELegal6">
    <w:name w:val="ME Legal 6"/>
    <w:basedOn w:val="Normal"/>
    <w:rsid w:val="000F4684"/>
    <w:pPr>
      <w:numPr>
        <w:ilvl w:val="5"/>
        <w:numId w:val="3"/>
      </w:numPr>
      <w:spacing w:after="240"/>
      <w:outlineLvl w:val="5"/>
    </w:pPr>
    <w:rPr>
      <w:rFonts w:eastAsia="SimSun" w:cs="Angsana New"/>
      <w:lang w:eastAsia="zh-CN" w:bidi="th-TH"/>
    </w:rPr>
  </w:style>
  <w:style w:type="character" w:styleId="Hyperlink">
    <w:name w:val="Hyperlink"/>
    <w:uiPriority w:val="99"/>
    <w:rsid w:val="000F4684"/>
    <w:rPr>
      <w:color w:val="0000FF"/>
      <w:u w:val="single"/>
    </w:rPr>
  </w:style>
  <w:style w:type="character" w:styleId="FollowedHyperlink">
    <w:name w:val="FollowedHyperlink"/>
    <w:rsid w:val="000F4684"/>
    <w:rPr>
      <w:color w:val="800080"/>
      <w:u w:val="single"/>
    </w:rPr>
  </w:style>
  <w:style w:type="paragraph" w:customStyle="1" w:styleId="subsection">
    <w:name w:val="subsection"/>
    <w:basedOn w:val="Normal"/>
    <w:rsid w:val="00E47338"/>
    <w:pPr>
      <w:spacing w:before="100" w:beforeAutospacing="1" w:after="100" w:afterAutospacing="1"/>
    </w:pPr>
    <w:rPr>
      <w:rFonts w:eastAsia="SimSun"/>
      <w:lang w:eastAsia="ja-JP" w:bidi="th-TH"/>
    </w:rPr>
  </w:style>
  <w:style w:type="character" w:styleId="FootnoteReference">
    <w:name w:val="footnote reference"/>
    <w:uiPriority w:val="99"/>
    <w:semiHidden/>
    <w:rsid w:val="00E47338"/>
    <w:rPr>
      <w:vertAlign w:val="superscript"/>
    </w:rPr>
  </w:style>
  <w:style w:type="paragraph" w:styleId="Header">
    <w:name w:val="header"/>
    <w:basedOn w:val="Normal"/>
    <w:rsid w:val="00ED65C1"/>
    <w:pPr>
      <w:tabs>
        <w:tab w:val="center" w:pos="4153"/>
        <w:tab w:val="right" w:pos="8306"/>
      </w:tabs>
    </w:pPr>
  </w:style>
  <w:style w:type="paragraph" w:styleId="Footer">
    <w:name w:val="footer"/>
    <w:basedOn w:val="Normal"/>
    <w:rsid w:val="00ED65C1"/>
    <w:pPr>
      <w:tabs>
        <w:tab w:val="center" w:pos="4153"/>
        <w:tab w:val="right" w:pos="8306"/>
      </w:tabs>
    </w:pPr>
  </w:style>
  <w:style w:type="character" w:styleId="PageNumber">
    <w:name w:val="page number"/>
    <w:basedOn w:val="DefaultParagraphFont"/>
    <w:rsid w:val="004C3ABF"/>
  </w:style>
  <w:style w:type="character" w:styleId="CommentReference">
    <w:name w:val="annotation reference"/>
    <w:rsid w:val="00AB6D7B"/>
    <w:rPr>
      <w:sz w:val="16"/>
      <w:szCs w:val="16"/>
    </w:rPr>
  </w:style>
  <w:style w:type="paragraph" w:styleId="CommentText">
    <w:name w:val="annotation text"/>
    <w:basedOn w:val="Normal"/>
    <w:link w:val="CommentTextChar"/>
    <w:rsid w:val="00AB6D7B"/>
    <w:rPr>
      <w:sz w:val="20"/>
      <w:szCs w:val="20"/>
    </w:rPr>
  </w:style>
  <w:style w:type="character" w:customStyle="1" w:styleId="CommentTextChar">
    <w:name w:val="Comment Text Char"/>
    <w:basedOn w:val="DefaultParagraphFont"/>
    <w:link w:val="CommentText"/>
    <w:rsid w:val="00AB6D7B"/>
  </w:style>
  <w:style w:type="paragraph" w:styleId="CommentSubject">
    <w:name w:val="annotation subject"/>
    <w:basedOn w:val="CommentText"/>
    <w:next w:val="CommentText"/>
    <w:link w:val="CommentSubjectChar"/>
    <w:rsid w:val="00AB6D7B"/>
    <w:rPr>
      <w:b/>
      <w:bCs/>
    </w:rPr>
  </w:style>
  <w:style w:type="character" w:customStyle="1" w:styleId="CommentSubjectChar">
    <w:name w:val="Comment Subject Char"/>
    <w:link w:val="CommentSubject"/>
    <w:rsid w:val="00AB6D7B"/>
    <w:rPr>
      <w:b/>
      <w:bCs/>
    </w:rPr>
  </w:style>
  <w:style w:type="paragraph" w:styleId="BalloonText">
    <w:name w:val="Balloon Text"/>
    <w:basedOn w:val="Normal"/>
    <w:link w:val="BalloonTextChar"/>
    <w:rsid w:val="00AB6D7B"/>
    <w:rPr>
      <w:rFonts w:ascii="Tahoma" w:hAnsi="Tahoma" w:cs="Tahoma"/>
      <w:sz w:val="16"/>
      <w:szCs w:val="16"/>
    </w:rPr>
  </w:style>
  <w:style w:type="character" w:customStyle="1" w:styleId="BalloonTextChar">
    <w:name w:val="Balloon Text Char"/>
    <w:link w:val="BalloonText"/>
    <w:rsid w:val="00AB6D7B"/>
    <w:rPr>
      <w:rFonts w:ascii="Tahoma" w:hAnsi="Tahoma" w:cs="Tahoma"/>
      <w:sz w:val="16"/>
      <w:szCs w:val="16"/>
    </w:rPr>
  </w:style>
  <w:style w:type="paragraph" w:styleId="ListParagraph">
    <w:name w:val="List Paragraph"/>
    <w:basedOn w:val="Normal"/>
    <w:uiPriority w:val="34"/>
    <w:qFormat/>
    <w:rsid w:val="00961FE8"/>
    <w:pPr>
      <w:ind w:left="720"/>
    </w:pPr>
  </w:style>
  <w:style w:type="paragraph" w:styleId="FootnoteText">
    <w:name w:val="footnote text"/>
    <w:basedOn w:val="Normal"/>
    <w:link w:val="FootnoteTextChar"/>
    <w:uiPriority w:val="99"/>
    <w:rsid w:val="00993BE3"/>
    <w:rPr>
      <w:sz w:val="20"/>
      <w:szCs w:val="20"/>
    </w:rPr>
  </w:style>
  <w:style w:type="character" w:customStyle="1" w:styleId="FootnoteTextChar">
    <w:name w:val="Footnote Text Char"/>
    <w:basedOn w:val="DefaultParagraphFont"/>
    <w:link w:val="FootnoteText"/>
    <w:uiPriority w:val="99"/>
    <w:rsid w:val="00993BE3"/>
  </w:style>
  <w:style w:type="paragraph" w:styleId="TOCHeading">
    <w:name w:val="TOC Heading"/>
    <w:basedOn w:val="Heading1"/>
    <w:next w:val="Normal"/>
    <w:uiPriority w:val="39"/>
    <w:semiHidden/>
    <w:unhideWhenUsed/>
    <w:qFormat/>
    <w:rsid w:val="001054D1"/>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3">
    <w:name w:val="toc 3"/>
    <w:basedOn w:val="Normal"/>
    <w:next w:val="Normal"/>
    <w:autoRedefine/>
    <w:uiPriority w:val="39"/>
    <w:rsid w:val="001054D1"/>
    <w:pPr>
      <w:ind w:left="480"/>
    </w:pPr>
  </w:style>
  <w:style w:type="paragraph" w:customStyle="1" w:styleId="constitutionpara">
    <w:name w:val="constitution para"/>
    <w:basedOn w:val="Normal"/>
    <w:rsid w:val="0052119A"/>
    <w:pPr>
      <w:keepNext/>
      <w:spacing w:before="240"/>
      <w:ind w:left="1321" w:right="78" w:hanging="482"/>
      <w:jc w:val="both"/>
    </w:pPr>
  </w:style>
  <w:style w:type="paragraph" w:customStyle="1" w:styleId="constitutionclauseheading">
    <w:name w:val="constitution clause heading"/>
    <w:basedOn w:val="Normal"/>
    <w:next w:val="constitutionclause"/>
    <w:rsid w:val="0052119A"/>
    <w:pPr>
      <w:keepNext/>
      <w:tabs>
        <w:tab w:val="left" w:pos="540"/>
      </w:tabs>
      <w:spacing w:before="240"/>
      <w:ind w:left="-74" w:right="78"/>
      <w:jc w:val="both"/>
    </w:pPr>
    <w:rPr>
      <w:b/>
      <w:i/>
    </w:rPr>
  </w:style>
  <w:style w:type="paragraph" w:customStyle="1" w:styleId="constitutionclause">
    <w:name w:val="constitution clause"/>
    <w:basedOn w:val="Normal"/>
    <w:rsid w:val="0052119A"/>
    <w:pPr>
      <w:tabs>
        <w:tab w:val="left" w:pos="540"/>
      </w:tabs>
      <w:spacing w:before="240"/>
      <w:ind w:left="720" w:right="78"/>
      <w:jc w:val="both"/>
    </w:pPr>
    <w:rPr>
      <w:iCs/>
    </w:rPr>
  </w:style>
  <w:style w:type="paragraph" w:customStyle="1" w:styleId="constitutionsubpara">
    <w:name w:val="constitution subpara"/>
    <w:basedOn w:val="constitutionpara"/>
    <w:rsid w:val="0052119A"/>
    <w:pPr>
      <w:ind w:left="2040" w:hanging="600"/>
    </w:pPr>
  </w:style>
  <w:style w:type="paragraph" w:customStyle="1" w:styleId="constitutionsubclause">
    <w:name w:val="constitution subclause"/>
    <w:basedOn w:val="constitutionclause"/>
    <w:rsid w:val="00EF0ADC"/>
    <w:pPr>
      <w:ind w:left="540" w:hanging="540"/>
    </w:pPr>
    <w:rPr>
      <w:bCs/>
    </w:rPr>
  </w:style>
  <w:style w:type="paragraph" w:styleId="Revision">
    <w:name w:val="Revision"/>
    <w:hidden/>
    <w:uiPriority w:val="99"/>
    <w:semiHidden/>
    <w:rsid w:val="008352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717">
      <w:bodyDiv w:val="1"/>
      <w:marLeft w:val="0"/>
      <w:marRight w:val="0"/>
      <w:marTop w:val="0"/>
      <w:marBottom w:val="0"/>
      <w:divBdr>
        <w:top w:val="none" w:sz="0" w:space="0" w:color="auto"/>
        <w:left w:val="none" w:sz="0" w:space="0" w:color="auto"/>
        <w:bottom w:val="none" w:sz="0" w:space="0" w:color="auto"/>
        <w:right w:val="none" w:sz="0" w:space="0" w:color="auto"/>
      </w:divBdr>
    </w:div>
    <w:div w:id="6594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Strategic Planning Guidelines (consolidated)</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4314AF7-E2D0-4872-AD6B-241980A011B0}"/>
</file>

<file path=customXml/itemProps2.xml><?xml version="1.0" encoding="utf-8"?>
<ds:datastoreItem xmlns:ds="http://schemas.openxmlformats.org/officeDocument/2006/customXml" ds:itemID="{A48741CD-6C86-4305-91BD-2779090347D5}"/>
</file>

<file path=customXml/itemProps3.xml><?xml version="1.0" encoding="utf-8"?>
<ds:datastoreItem xmlns:ds="http://schemas.openxmlformats.org/officeDocument/2006/customXml" ds:itemID="{CBF96074-F1A2-4431-A2E6-801B9FDC7AB0}"/>
</file>

<file path=customXml/itemProps4.xml><?xml version="1.0" encoding="utf-8"?>
<ds:datastoreItem xmlns:ds="http://schemas.openxmlformats.org/officeDocument/2006/customXml" ds:itemID="{786995A0-198D-49C2-8158-EC2097DD66CD}"/>
</file>

<file path=customXml/itemProps5.xml><?xml version="1.0" encoding="utf-8"?>
<ds:datastoreItem xmlns:ds="http://schemas.openxmlformats.org/officeDocument/2006/customXml" ds:itemID="{3D986704-E094-4C44-8B95-7C665E053569}"/>
</file>

<file path=customXml/itemProps6.xml><?xml version="1.0" encoding="utf-8"?>
<ds:datastoreItem xmlns:ds="http://schemas.openxmlformats.org/officeDocument/2006/customXml" ds:itemID="{97AF165D-A9D5-47EE-A140-1673EA4D2D86}"/>
</file>

<file path=docProps/app.xml><?xml version="1.0" encoding="utf-8"?>
<Properties xmlns="http://schemas.openxmlformats.org/officeDocument/2006/extended-properties" xmlns:vt="http://schemas.openxmlformats.org/officeDocument/2006/docPropsVTypes">
  <Template>Normal</Template>
  <TotalTime>5</TotalTime>
  <Pages>19</Pages>
  <Words>3303</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Guidelines concerning commercial activities in accordance with Part 5</vt:lpstr>
    </vt:vector>
  </TitlesOfParts>
  <Company>DIIRD</Company>
  <LinksUpToDate>false</LinksUpToDate>
  <CharactersWithSpaces>21777</CharactersWithSpaces>
  <SharedDoc>false</SharedDoc>
  <HLinks>
    <vt:vector size="126" baseType="variant">
      <vt:variant>
        <vt:i4>589861</vt:i4>
      </vt:variant>
      <vt:variant>
        <vt:i4>60</vt:i4>
      </vt:variant>
      <vt:variant>
        <vt:i4>0</vt:i4>
      </vt:variant>
      <vt:variant>
        <vt:i4>5</vt:i4>
      </vt:variant>
      <vt:variant>
        <vt:lpwstr/>
      </vt:variant>
      <vt:variant>
        <vt:lpwstr>_Guideline_16_–</vt:lpwstr>
      </vt:variant>
      <vt:variant>
        <vt:i4>589862</vt:i4>
      </vt:variant>
      <vt:variant>
        <vt:i4>57</vt:i4>
      </vt:variant>
      <vt:variant>
        <vt:i4>0</vt:i4>
      </vt:variant>
      <vt:variant>
        <vt:i4>5</vt:i4>
      </vt:variant>
      <vt:variant>
        <vt:lpwstr/>
      </vt:variant>
      <vt:variant>
        <vt:lpwstr>_Guideline_15_–</vt:lpwstr>
      </vt:variant>
      <vt:variant>
        <vt:i4>589863</vt:i4>
      </vt:variant>
      <vt:variant>
        <vt:i4>54</vt:i4>
      </vt:variant>
      <vt:variant>
        <vt:i4>0</vt:i4>
      </vt:variant>
      <vt:variant>
        <vt:i4>5</vt:i4>
      </vt:variant>
      <vt:variant>
        <vt:lpwstr/>
      </vt:variant>
      <vt:variant>
        <vt:lpwstr>_Guideline_14_–</vt:lpwstr>
      </vt:variant>
      <vt:variant>
        <vt:i4>589856</vt:i4>
      </vt:variant>
      <vt:variant>
        <vt:i4>51</vt:i4>
      </vt:variant>
      <vt:variant>
        <vt:i4>0</vt:i4>
      </vt:variant>
      <vt:variant>
        <vt:i4>5</vt:i4>
      </vt:variant>
      <vt:variant>
        <vt:lpwstr/>
      </vt:variant>
      <vt:variant>
        <vt:lpwstr>_Guideline_13_–</vt:lpwstr>
      </vt:variant>
      <vt:variant>
        <vt:i4>589857</vt:i4>
      </vt:variant>
      <vt:variant>
        <vt:i4>48</vt:i4>
      </vt:variant>
      <vt:variant>
        <vt:i4>0</vt:i4>
      </vt:variant>
      <vt:variant>
        <vt:i4>5</vt:i4>
      </vt:variant>
      <vt:variant>
        <vt:lpwstr/>
      </vt:variant>
      <vt:variant>
        <vt:lpwstr>_Guideline_12_–</vt:lpwstr>
      </vt:variant>
      <vt:variant>
        <vt:i4>589858</vt:i4>
      </vt:variant>
      <vt:variant>
        <vt:i4>45</vt:i4>
      </vt:variant>
      <vt:variant>
        <vt:i4>0</vt:i4>
      </vt:variant>
      <vt:variant>
        <vt:i4>5</vt:i4>
      </vt:variant>
      <vt:variant>
        <vt:lpwstr/>
      </vt:variant>
      <vt:variant>
        <vt:lpwstr>_Guideline_11_–</vt:lpwstr>
      </vt:variant>
      <vt:variant>
        <vt:i4>589859</vt:i4>
      </vt:variant>
      <vt:variant>
        <vt:i4>42</vt:i4>
      </vt:variant>
      <vt:variant>
        <vt:i4>0</vt:i4>
      </vt:variant>
      <vt:variant>
        <vt:i4>5</vt:i4>
      </vt:variant>
      <vt:variant>
        <vt:lpwstr/>
      </vt:variant>
      <vt:variant>
        <vt:lpwstr>_Guideline_10_–</vt:lpwstr>
      </vt:variant>
      <vt:variant>
        <vt:i4>541917260</vt:i4>
      </vt:variant>
      <vt:variant>
        <vt:i4>39</vt:i4>
      </vt:variant>
      <vt:variant>
        <vt:i4>0</vt:i4>
      </vt:variant>
      <vt:variant>
        <vt:i4>5</vt:i4>
      </vt:variant>
      <vt:variant>
        <vt:lpwstr/>
      </vt:variant>
      <vt:variant>
        <vt:lpwstr>_Guideline_9_–</vt:lpwstr>
      </vt:variant>
      <vt:variant>
        <vt:i4>541851724</vt:i4>
      </vt:variant>
      <vt:variant>
        <vt:i4>36</vt:i4>
      </vt:variant>
      <vt:variant>
        <vt:i4>0</vt:i4>
      </vt:variant>
      <vt:variant>
        <vt:i4>5</vt:i4>
      </vt:variant>
      <vt:variant>
        <vt:lpwstr/>
      </vt:variant>
      <vt:variant>
        <vt:lpwstr>_Guideline_8_–</vt:lpwstr>
      </vt:variant>
      <vt:variant>
        <vt:i4>541261900</vt:i4>
      </vt:variant>
      <vt:variant>
        <vt:i4>33</vt:i4>
      </vt:variant>
      <vt:variant>
        <vt:i4>0</vt:i4>
      </vt:variant>
      <vt:variant>
        <vt:i4>5</vt:i4>
      </vt:variant>
      <vt:variant>
        <vt:lpwstr/>
      </vt:variant>
      <vt:variant>
        <vt:lpwstr>_Guideline_7_–</vt:lpwstr>
      </vt:variant>
      <vt:variant>
        <vt:i4>541196364</vt:i4>
      </vt:variant>
      <vt:variant>
        <vt:i4>30</vt:i4>
      </vt:variant>
      <vt:variant>
        <vt:i4>0</vt:i4>
      </vt:variant>
      <vt:variant>
        <vt:i4>5</vt:i4>
      </vt:variant>
      <vt:variant>
        <vt:lpwstr/>
      </vt:variant>
      <vt:variant>
        <vt:lpwstr>_Guideline_6_–</vt:lpwstr>
      </vt:variant>
      <vt:variant>
        <vt:i4>541130828</vt:i4>
      </vt:variant>
      <vt:variant>
        <vt:i4>27</vt:i4>
      </vt:variant>
      <vt:variant>
        <vt:i4>0</vt:i4>
      </vt:variant>
      <vt:variant>
        <vt:i4>5</vt:i4>
      </vt:variant>
      <vt:variant>
        <vt:lpwstr/>
      </vt:variant>
      <vt:variant>
        <vt:lpwstr>_Guideline_5_–</vt:lpwstr>
      </vt:variant>
      <vt:variant>
        <vt:i4>541065292</vt:i4>
      </vt:variant>
      <vt:variant>
        <vt:i4>24</vt:i4>
      </vt:variant>
      <vt:variant>
        <vt:i4>0</vt:i4>
      </vt:variant>
      <vt:variant>
        <vt:i4>5</vt:i4>
      </vt:variant>
      <vt:variant>
        <vt:lpwstr/>
      </vt:variant>
      <vt:variant>
        <vt:lpwstr>_Guideline_4_–</vt:lpwstr>
      </vt:variant>
      <vt:variant>
        <vt:i4>541524044</vt:i4>
      </vt:variant>
      <vt:variant>
        <vt:i4>21</vt:i4>
      </vt:variant>
      <vt:variant>
        <vt:i4>0</vt:i4>
      </vt:variant>
      <vt:variant>
        <vt:i4>5</vt:i4>
      </vt:variant>
      <vt:variant>
        <vt:lpwstr/>
      </vt:variant>
      <vt:variant>
        <vt:lpwstr>_Guideline_3_–</vt:lpwstr>
      </vt:variant>
      <vt:variant>
        <vt:i4>541458508</vt:i4>
      </vt:variant>
      <vt:variant>
        <vt:i4>18</vt:i4>
      </vt:variant>
      <vt:variant>
        <vt:i4>0</vt:i4>
      </vt:variant>
      <vt:variant>
        <vt:i4>5</vt:i4>
      </vt:variant>
      <vt:variant>
        <vt:lpwstr/>
      </vt:variant>
      <vt:variant>
        <vt:lpwstr>_Guideline_2_–</vt:lpwstr>
      </vt:variant>
      <vt:variant>
        <vt:i4>541392972</vt:i4>
      </vt:variant>
      <vt:variant>
        <vt:i4>15</vt:i4>
      </vt:variant>
      <vt:variant>
        <vt:i4>0</vt:i4>
      </vt:variant>
      <vt:variant>
        <vt:i4>5</vt:i4>
      </vt:variant>
      <vt:variant>
        <vt:lpwstr/>
      </vt:variant>
      <vt:variant>
        <vt:lpwstr>_Guideline_1_–</vt:lpwstr>
      </vt:variant>
      <vt:variant>
        <vt:i4>262205</vt:i4>
      </vt:variant>
      <vt:variant>
        <vt:i4>12</vt:i4>
      </vt:variant>
      <vt:variant>
        <vt:i4>0</vt:i4>
      </vt:variant>
      <vt:variant>
        <vt:i4>5</vt:i4>
      </vt:variant>
      <vt:variant>
        <vt:lpwstr/>
      </vt:variant>
      <vt:variant>
        <vt:lpwstr>_Definitions</vt:lpwstr>
      </vt:variant>
      <vt:variant>
        <vt:i4>4128773</vt:i4>
      </vt:variant>
      <vt:variant>
        <vt:i4>9</vt:i4>
      </vt:variant>
      <vt:variant>
        <vt:i4>0</vt:i4>
      </vt:variant>
      <vt:variant>
        <vt:i4>5</vt:i4>
      </vt:variant>
      <vt:variant>
        <vt:lpwstr/>
      </vt:variant>
      <vt:variant>
        <vt:lpwstr>_Application_of_other</vt:lpwstr>
      </vt:variant>
      <vt:variant>
        <vt:i4>720947</vt:i4>
      </vt:variant>
      <vt:variant>
        <vt:i4>6</vt:i4>
      </vt:variant>
      <vt:variant>
        <vt:i4>0</vt:i4>
      </vt:variant>
      <vt:variant>
        <vt:i4>5</vt:i4>
      </vt:variant>
      <vt:variant>
        <vt:lpwstr/>
      </vt:variant>
      <vt:variant>
        <vt:lpwstr>_Commencement</vt:lpwstr>
      </vt:variant>
      <vt:variant>
        <vt:i4>524329</vt:i4>
      </vt:variant>
      <vt:variant>
        <vt:i4>3</vt:i4>
      </vt:variant>
      <vt:variant>
        <vt:i4>0</vt:i4>
      </vt:variant>
      <vt:variant>
        <vt:i4>5</vt:i4>
      </vt:variant>
      <vt:variant>
        <vt:lpwstr/>
      </vt:variant>
      <vt:variant>
        <vt:lpwstr>_Purpose</vt:lpwstr>
      </vt:variant>
      <vt:variant>
        <vt:i4>7077994</vt:i4>
      </vt:variant>
      <vt:variant>
        <vt:i4>0</vt:i4>
      </vt:variant>
      <vt:variant>
        <vt:i4>0</vt:i4>
      </vt:variant>
      <vt:variant>
        <vt:i4>5</vt:i4>
      </vt:variant>
      <vt:variant>
        <vt:lpwstr/>
      </vt:variant>
      <vt:variant>
        <vt:lpwstr>_Authorising_provisions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concerning commercial activities in accordance with Part 5</dc:title>
  <dc:subject/>
  <dc:creator>DingA</dc:creator>
  <cp:keywords/>
  <dc:description/>
  <cp:lastModifiedBy>Stewart, Alicia A</cp:lastModifiedBy>
  <cp:revision>4</cp:revision>
  <cp:lastPrinted>2013-04-10T23:44:00Z</cp:lastPrinted>
  <dcterms:created xsi:type="dcterms:W3CDTF">2014-02-10T22:39:00Z</dcterms:created>
  <dcterms:modified xsi:type="dcterms:W3CDTF">2014-02-27T22:56:00Z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