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C0" w:rsidRPr="004436CD" w:rsidRDefault="003240C0" w:rsidP="000101FC">
      <w:pPr>
        <w:rPr>
          <w:rFonts w:ascii="Arial" w:hAnsi="Arial" w:cs="Arial"/>
          <w:sz w:val="20"/>
        </w:rPr>
      </w:pPr>
      <w:r w:rsidRPr="004436CD">
        <w:rPr>
          <w:rFonts w:ascii="Arial" w:hAnsi="Arial" w:cs="Arial"/>
          <w:sz w:val="20"/>
        </w:rPr>
        <w:t>The following registered training organisations have been</w:t>
      </w:r>
      <w:r w:rsidR="004436CD">
        <w:rPr>
          <w:rFonts w:ascii="Arial" w:hAnsi="Arial" w:cs="Arial"/>
          <w:sz w:val="20"/>
        </w:rPr>
        <w:t xml:space="preserve"> approved to deliver government </w:t>
      </w:r>
      <w:r w:rsidRPr="004436CD">
        <w:rPr>
          <w:rFonts w:ascii="Arial" w:hAnsi="Arial" w:cs="Arial"/>
          <w:sz w:val="20"/>
        </w:rPr>
        <w:t>subsidised recognition</w:t>
      </w:r>
      <w:r w:rsidR="004436CD">
        <w:rPr>
          <w:rFonts w:ascii="Arial" w:hAnsi="Arial" w:cs="Arial"/>
          <w:sz w:val="20"/>
        </w:rPr>
        <w:t xml:space="preserve"> of prior learning (RPL) to new students in 2013. Please note this List is subject to change at any time.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221"/>
      </w:tblGrid>
      <w:tr w:rsidR="009D4007" w:rsidRPr="00050414" w:rsidTr="00E15649">
        <w:tc>
          <w:tcPr>
            <w:tcW w:w="1101" w:type="dxa"/>
            <w:vAlign w:val="center"/>
          </w:tcPr>
          <w:p w:rsidR="009D4007" w:rsidRPr="00050414" w:rsidRDefault="009D4007" w:rsidP="00E156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414">
              <w:rPr>
                <w:rFonts w:ascii="Arial" w:hAnsi="Arial" w:cs="Arial"/>
                <w:b/>
                <w:sz w:val="20"/>
                <w:szCs w:val="20"/>
              </w:rPr>
              <w:t>TOID</w:t>
            </w:r>
            <w:r w:rsidRPr="000504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221" w:type="dxa"/>
            <w:vAlign w:val="center"/>
          </w:tcPr>
          <w:p w:rsidR="009D4007" w:rsidRPr="00050414" w:rsidRDefault="009D4007" w:rsidP="00E156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414">
              <w:rPr>
                <w:rFonts w:ascii="Arial" w:hAnsi="Arial" w:cs="Arial"/>
                <w:b/>
                <w:sz w:val="20"/>
                <w:szCs w:val="20"/>
              </w:rPr>
              <w:t>TRADING NAME</w:t>
            </w:r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22234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Ashton College</w:t>
            </w:r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21378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Asia Pacific Training Institute Pty. Ltd.</w:t>
            </w:r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21756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Aspin Pty Ltd</w:t>
            </w:r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20947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Assessing and Training Services; Warehouse Training </w:t>
            </w:r>
            <w:proofErr w:type="spellStart"/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</w:t>
            </w:r>
            <w:proofErr w:type="spellEnd"/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3601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Australian Nursing Federation (Victorian Branch)</w:t>
            </w:r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5090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Australian Vocational Training and Employment Services Pty Limited</w:t>
            </w:r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3683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Ballarat Group Training (BGT)</w:t>
            </w:r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3077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Bendigo Regional Institute of TAFE</w:t>
            </w:r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4687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E15649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Box Hill Institute of TAFE</w:t>
            </w:r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22236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Casey College of Beauty Therapy</w:t>
            </w:r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417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Gippsland Institute of TAFE</w:t>
            </w:r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3737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Centre for Adult Education</w:t>
            </w:r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260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Chisholm Institute</w:t>
            </w:r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21356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CLB Training and Development Pty Ltd</w:t>
            </w:r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4076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Community College Warrnambool, South West Training and Assessment</w:t>
            </w:r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3752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DeakinPrime</w:t>
            </w:r>
            <w:proofErr w:type="spellEnd"/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22227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Foresite</w:t>
            </w:r>
            <w:proofErr w:type="spellEnd"/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Training Pty Ltd</w:t>
            </w:r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7134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Franklyn Scholar</w:t>
            </w:r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6639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FS Learning</w:t>
            </w:r>
          </w:p>
        </w:tc>
      </w:tr>
      <w:tr w:rsidR="009D4007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21990</w:t>
            </w:r>
          </w:p>
        </w:tc>
        <w:tc>
          <w:tcPr>
            <w:tcW w:w="8221" w:type="dxa"/>
            <w:vAlign w:val="center"/>
            <w:hideMark/>
          </w:tcPr>
          <w:p w:rsidR="009D4007" w:rsidRPr="00050414" w:rsidRDefault="009D4007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Fusion English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</w:tcPr>
          <w:p w:rsidR="00ED3A7D" w:rsidRPr="00050414" w:rsidRDefault="00ED3A7D" w:rsidP="002B42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414">
              <w:rPr>
                <w:rFonts w:ascii="Arial" w:hAnsi="Arial" w:cs="Arial"/>
                <w:b/>
                <w:sz w:val="20"/>
                <w:szCs w:val="20"/>
              </w:rPr>
              <w:lastRenderedPageBreak/>
              <w:t>TOID</w:t>
            </w:r>
            <w:r w:rsidRPr="000504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221" w:type="dxa"/>
            <w:vAlign w:val="center"/>
          </w:tcPr>
          <w:p w:rsidR="00ED3A7D" w:rsidRPr="00050414" w:rsidRDefault="00ED3A7D" w:rsidP="002B42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414">
              <w:rPr>
                <w:rFonts w:ascii="Arial" w:hAnsi="Arial" w:cs="Arial"/>
                <w:b/>
                <w:sz w:val="20"/>
                <w:szCs w:val="20"/>
              </w:rPr>
              <w:t>TRADING NAME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3044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Gordon Institute of TAFE; The Gordon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3094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Goulburn Ovens Institute of TAFE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3900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Gowrie Victoria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22088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Gurkhas</w:t>
            </w:r>
            <w:proofErr w:type="spellEnd"/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Instit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ute of Hospitality &amp; Management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22281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Heron Assess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416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Holmesglen Institute of TAFE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21340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IASCEND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122208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Job Training Institute Pty Ltd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306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Kangan Institute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of TAFE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3908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Leadership Management Australia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21943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Melbourne College of Hair and Beauty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22258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Melbourne Institute of Training and Technology Pty Ltd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21834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Menzies Institute of Technology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6954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MWT Institute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3749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National Workplace Training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6944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Nautilus Training and Curriculum Pty Ltd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22214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Nepean Industry Edge Training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4638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Newskills</w:t>
            </w:r>
            <w:proofErr w:type="spellEnd"/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Ltd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3075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Northern Melbourne Institute of TAFE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110083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Organisational Learning Australia Pty Ltd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3046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RMIT University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</w:tcPr>
          <w:p w:rsidR="00ED3A7D" w:rsidRPr="00050414" w:rsidRDefault="00ED3A7D" w:rsidP="002B42D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  <w:r w:rsidRPr="00050414">
              <w:rPr>
                <w:rFonts w:ascii="Arial" w:hAnsi="Arial" w:cs="Arial"/>
                <w:b/>
                <w:sz w:val="20"/>
                <w:szCs w:val="20"/>
              </w:rPr>
              <w:lastRenderedPageBreak/>
              <w:t>TOID</w:t>
            </w:r>
            <w:r w:rsidRPr="000504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221" w:type="dxa"/>
            <w:vAlign w:val="center"/>
          </w:tcPr>
          <w:p w:rsidR="00ED3A7D" w:rsidRPr="00050414" w:rsidRDefault="00ED3A7D" w:rsidP="002B42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414">
              <w:rPr>
                <w:rFonts w:ascii="Arial" w:hAnsi="Arial" w:cs="Arial"/>
                <w:b/>
                <w:sz w:val="20"/>
                <w:szCs w:val="20"/>
              </w:rPr>
              <w:t>TRADING NAME</w:t>
            </w:r>
          </w:p>
        </w:tc>
      </w:tr>
      <w:bookmarkEnd w:id="0"/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20828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Skills Training Australia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3120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West Institute of TAFE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6806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 John's Regional College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22137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Student Training for Hospitality Services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4693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Sunraysia</w:t>
            </w:r>
            <w:proofErr w:type="spellEnd"/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Institute of TAFE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3059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Swinburne University of Technology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21863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Academy of International Education (Australia)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4172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The Centre For Continuing Education </w:t>
            </w:r>
            <w:proofErr w:type="spellStart"/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</w:t>
            </w:r>
            <w:proofErr w:type="spellEnd"/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452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Pharmacy Guild of Australia National Secretariat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4150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Upper Yarra Community House </w:t>
            </w:r>
            <w:proofErr w:type="spellStart"/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</w:t>
            </w:r>
            <w:proofErr w:type="spellEnd"/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21097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VETASSESS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22360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VFA Learning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3113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 University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20829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VIT (Victorian Institute of Technology)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22098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Western Institute of Technology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3045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William </w:t>
            </w:r>
            <w:proofErr w:type="spellStart"/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Angliss</w:t>
            </w:r>
            <w:proofErr w:type="spellEnd"/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Institute of TAFE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3097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Wodonga Institute of TAFE</w:t>
            </w:r>
          </w:p>
        </w:tc>
      </w:tr>
      <w:tr w:rsidR="00ED3A7D" w:rsidRPr="00050414" w:rsidTr="00E15649">
        <w:trPr>
          <w:trHeight w:val="600"/>
        </w:trPr>
        <w:tc>
          <w:tcPr>
            <w:tcW w:w="1101" w:type="dxa"/>
            <w:noWrap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21859</w:t>
            </w:r>
          </w:p>
        </w:tc>
        <w:tc>
          <w:tcPr>
            <w:tcW w:w="8221" w:type="dxa"/>
            <w:vAlign w:val="center"/>
            <w:hideMark/>
          </w:tcPr>
          <w:p w:rsidR="00ED3A7D" w:rsidRPr="00050414" w:rsidRDefault="00ED3A7D" w:rsidP="00E156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0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Workplace Training Strategies</w:t>
            </w:r>
          </w:p>
        </w:tc>
      </w:tr>
    </w:tbl>
    <w:p w:rsidR="00861D12" w:rsidRPr="007E1444" w:rsidRDefault="00861D12" w:rsidP="000101FC">
      <w:pPr>
        <w:rPr>
          <w:rFonts w:ascii="Arial" w:hAnsi="Arial" w:cs="Arial"/>
          <w:sz w:val="18"/>
        </w:rPr>
      </w:pPr>
    </w:p>
    <w:sectPr w:rsidR="00861D12" w:rsidRPr="007E1444" w:rsidSect="00A8347B">
      <w:headerReference w:type="default" r:id="rId8"/>
      <w:footerReference w:type="default" r:id="rId9"/>
      <w:pgSz w:w="11906" w:h="16838"/>
      <w:pgMar w:top="993" w:right="1133" w:bottom="1440" w:left="1440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FD" w:rsidRDefault="00A821FD" w:rsidP="006477F7">
      <w:pPr>
        <w:spacing w:after="0" w:line="240" w:lineRule="auto"/>
      </w:pPr>
      <w:r>
        <w:separator/>
      </w:r>
    </w:p>
  </w:endnote>
  <w:endnote w:type="continuationSeparator" w:id="0">
    <w:p w:rsidR="00A821FD" w:rsidRDefault="00A821FD" w:rsidP="0064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FD" w:rsidRDefault="00A821FD" w:rsidP="00093F4C">
    <w:pPr>
      <w:pStyle w:val="Footer"/>
      <w:ind w:left="-709"/>
      <w:jc w:val="center"/>
      <w:rPr>
        <w:rFonts w:ascii="Arial" w:hAnsi="Arial" w:cs="Arial"/>
        <w:b/>
        <w:sz w:val="18"/>
      </w:rPr>
    </w:pPr>
    <w:r w:rsidRPr="00A8347B">
      <w:rPr>
        <w:rFonts w:ascii="Arial" w:hAnsi="Arial" w:cs="Arial"/>
        <w:b/>
        <w:sz w:val="18"/>
      </w:rPr>
      <w:t>Department of Education and Early Childhood Development</w:t>
    </w:r>
    <w:r w:rsidRPr="00A8347B">
      <w:rPr>
        <w:b/>
      </w:rPr>
      <w:t xml:space="preserve"> - </w:t>
    </w:r>
    <w:r w:rsidRPr="00A8347B">
      <w:rPr>
        <w:rFonts w:ascii="Arial" w:hAnsi="Arial" w:cs="Arial"/>
        <w:b/>
        <w:sz w:val="18"/>
      </w:rPr>
      <w:t>2013 RPL Approved Provider List</w:t>
    </w:r>
    <w:r>
      <w:rPr>
        <w:rFonts w:ascii="Arial" w:hAnsi="Arial" w:cs="Arial"/>
        <w:b/>
        <w:sz w:val="18"/>
      </w:rPr>
      <w:t xml:space="preserve"> </w:t>
    </w:r>
  </w:p>
  <w:p w:rsidR="00A821FD" w:rsidRPr="00A8347B" w:rsidRDefault="00A821FD" w:rsidP="00FD4268">
    <w:pPr>
      <w:pStyle w:val="Footer"/>
      <w:ind w:left="-709"/>
      <w:jc w:val="right"/>
      <w:rPr>
        <w:b/>
      </w:rPr>
    </w:pPr>
    <w:r>
      <w:rPr>
        <w:rFonts w:ascii="Arial" w:hAnsi="Arial" w:cs="Arial"/>
        <w:b/>
        <w:sz w:val="18"/>
      </w:rPr>
      <w:t>Version 3</w:t>
    </w:r>
    <w:r w:rsidRPr="00A8347B">
      <w:rPr>
        <w:rFonts w:ascii="Arial" w:hAnsi="Arial" w:cs="Arial"/>
        <w:b/>
        <w:sz w:val="18"/>
      </w:rPr>
      <w:t xml:space="preserve"> </w:t>
    </w:r>
    <w:r>
      <w:rPr>
        <w:rFonts w:ascii="Arial" w:hAnsi="Arial" w:cs="Arial"/>
        <w:b/>
        <w:sz w:val="18"/>
      </w:rPr>
      <w:t>–</w:t>
    </w:r>
    <w:r w:rsidRPr="00A8347B">
      <w:rPr>
        <w:rFonts w:ascii="Arial" w:hAnsi="Arial" w:cs="Arial"/>
        <w:b/>
        <w:sz w:val="18"/>
      </w:rPr>
      <w:t xml:space="preserve"> </w:t>
    </w:r>
    <w:r>
      <w:rPr>
        <w:rFonts w:ascii="Arial" w:hAnsi="Arial" w:cs="Arial"/>
        <w:b/>
        <w:sz w:val="18"/>
      </w:rPr>
      <w:t>5 March</w:t>
    </w:r>
    <w:r w:rsidRPr="00A8347B">
      <w:rPr>
        <w:rFonts w:ascii="Arial" w:hAnsi="Arial" w:cs="Arial"/>
        <w:b/>
        <w:sz w:val="18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FD" w:rsidRDefault="00A821FD" w:rsidP="006477F7">
      <w:pPr>
        <w:spacing w:after="0" w:line="240" w:lineRule="auto"/>
      </w:pPr>
      <w:r>
        <w:separator/>
      </w:r>
    </w:p>
  </w:footnote>
  <w:footnote w:type="continuationSeparator" w:id="0">
    <w:p w:rsidR="00A821FD" w:rsidRDefault="00A821FD" w:rsidP="0064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FD" w:rsidRPr="007E1444" w:rsidRDefault="00A821FD" w:rsidP="006477F7">
    <w:pPr>
      <w:spacing w:after="360"/>
      <w:rPr>
        <w:rFonts w:ascii="Arial" w:hAnsi="Arial" w:cs="Arial"/>
        <w:sz w:val="28"/>
      </w:rPr>
    </w:pPr>
    <w:r w:rsidRPr="007E1444">
      <w:rPr>
        <w:rFonts w:ascii="Arial" w:eastAsia="Times New Roman" w:hAnsi="Arial" w:cs="Times New Roman"/>
        <w:color w:val="0070C0"/>
        <w:spacing w:val="-12"/>
        <w:sz w:val="46"/>
        <w:szCs w:val="46"/>
      </w:rPr>
      <w:t>2013 RPL Approved Provider List</w:t>
    </w:r>
    <w:r w:rsidRPr="007E1444">
      <w:rPr>
        <w:color w:val="0070C0"/>
        <w:sz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86"/>
    <w:rsid w:val="000101FC"/>
    <w:rsid w:val="00050414"/>
    <w:rsid w:val="00093F4C"/>
    <w:rsid w:val="00157291"/>
    <w:rsid w:val="00180EFB"/>
    <w:rsid w:val="00191881"/>
    <w:rsid w:val="001A0C64"/>
    <w:rsid w:val="0021309D"/>
    <w:rsid w:val="003240C0"/>
    <w:rsid w:val="00326B31"/>
    <w:rsid w:val="00373BBD"/>
    <w:rsid w:val="003872CF"/>
    <w:rsid w:val="004436CD"/>
    <w:rsid w:val="00457DE9"/>
    <w:rsid w:val="00472853"/>
    <w:rsid w:val="004F2002"/>
    <w:rsid w:val="005312DE"/>
    <w:rsid w:val="006477F7"/>
    <w:rsid w:val="0065722F"/>
    <w:rsid w:val="006D3B85"/>
    <w:rsid w:val="006E4205"/>
    <w:rsid w:val="00794C86"/>
    <w:rsid w:val="007E1444"/>
    <w:rsid w:val="00861D12"/>
    <w:rsid w:val="008C6614"/>
    <w:rsid w:val="009D4007"/>
    <w:rsid w:val="00A01050"/>
    <w:rsid w:val="00A470BA"/>
    <w:rsid w:val="00A821FD"/>
    <w:rsid w:val="00A8347B"/>
    <w:rsid w:val="00A960A1"/>
    <w:rsid w:val="00CB04AC"/>
    <w:rsid w:val="00E15649"/>
    <w:rsid w:val="00E36CFE"/>
    <w:rsid w:val="00EC73A7"/>
    <w:rsid w:val="00ED3A7D"/>
    <w:rsid w:val="00EE2053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F7"/>
  </w:style>
  <w:style w:type="paragraph" w:styleId="Footer">
    <w:name w:val="footer"/>
    <w:basedOn w:val="Normal"/>
    <w:link w:val="FooterChar"/>
    <w:uiPriority w:val="99"/>
    <w:unhideWhenUsed/>
    <w:rsid w:val="0064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F7"/>
  </w:style>
  <w:style w:type="paragraph" w:styleId="BalloonText">
    <w:name w:val="Balloon Text"/>
    <w:basedOn w:val="Normal"/>
    <w:link w:val="BalloonTextChar"/>
    <w:uiPriority w:val="99"/>
    <w:semiHidden/>
    <w:unhideWhenUsed/>
    <w:rsid w:val="0064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F7"/>
  </w:style>
  <w:style w:type="paragraph" w:styleId="Footer">
    <w:name w:val="footer"/>
    <w:basedOn w:val="Normal"/>
    <w:link w:val="FooterChar"/>
    <w:uiPriority w:val="99"/>
    <w:unhideWhenUsed/>
    <w:rsid w:val="0064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F7"/>
  </w:style>
  <w:style w:type="paragraph" w:styleId="BalloonText">
    <w:name w:val="Balloon Text"/>
    <w:basedOn w:val="Normal"/>
    <w:link w:val="BalloonTextChar"/>
    <w:uiPriority w:val="99"/>
    <w:semiHidden/>
    <w:unhideWhenUsed/>
    <w:rsid w:val="0064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96</Value>
      <Value>101</Value>
      <Value>129</Value>
    </TaxCatchAll>
    <PublishingExpirationDate xmlns="http://schemas.microsoft.com/sharepoint/v3" xsi:nil="true"/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Early Childhood Development</DEECD_Publisher>
    <PublishingStartDate xmlns="76b566cd-adb9-46c2-964b-22eba181fd0b" xsi:nil="true"/>
    <DEECD_Expired xmlns="http://schemas.microsoft.com/sharepoint/v3">false</DEECD_Expired>
    <DEECD_Keywords xmlns="http://schemas.microsoft.com/sharepoint/v3" xsi:nil="true"/>
    <DEECD_Description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626C5-F179-4A28-8B4E-50AD375665A3}"/>
</file>

<file path=customXml/itemProps2.xml><?xml version="1.0" encoding="utf-8"?>
<ds:datastoreItem xmlns:ds="http://schemas.openxmlformats.org/officeDocument/2006/customXml" ds:itemID="{F3EDEC97-20A4-4973-9FF5-A8DDAAC1AE03}"/>
</file>

<file path=customXml/itemProps3.xml><?xml version="1.0" encoding="utf-8"?>
<ds:datastoreItem xmlns:ds="http://schemas.openxmlformats.org/officeDocument/2006/customXml" ds:itemID="{29138AE7-356F-40D6-8E2B-4F4C96EBD243}"/>
</file>

<file path=customXml/itemProps4.xml><?xml version="1.0" encoding="utf-8"?>
<ds:datastoreItem xmlns:ds="http://schemas.openxmlformats.org/officeDocument/2006/customXml" ds:itemID="{732E7568-59AB-490D-A1CD-FAAC72C3F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Tobin, Peggie E</dc:creator>
  <cp:keywords/>
  <dc:description/>
  <cp:lastModifiedBy>Tobin, Peggie E</cp:lastModifiedBy>
  <cp:revision>6</cp:revision>
  <cp:lastPrinted>2013-01-20T22:43:00Z</cp:lastPrinted>
  <dcterms:created xsi:type="dcterms:W3CDTF">2013-03-07T03:08:00Z</dcterms:created>
  <dcterms:modified xsi:type="dcterms:W3CDTF">2013-03-07T03:15:00Z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>96;#Administration|6dd5b576-1960-4eea-bf7a-adeffddbbc25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Audience">
    <vt:lpwstr>129;#Students|a9021d24-53aa-4cc0-8f90-0782c94ea88b</vt:lpwstr>
  </property>
</Properties>
</file>