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1640" w14:textId="14E194B6" w:rsidR="00DC3FD4" w:rsidRPr="00DC3FD4" w:rsidRDefault="006577DF" w:rsidP="00DC3FD4">
      <w:pPr>
        <w:rPr>
          <w:lang w:val="en-AU"/>
        </w:rPr>
      </w:pPr>
      <w:r w:rsidRPr="00DC3FD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Understanding skill sets</w:t>
      </w:r>
    </w:p>
    <w:p w14:paraId="02A04728" w14:textId="6CF9AAF0" w:rsidR="0052190C" w:rsidRDefault="0052190C" w:rsidP="0052190C">
      <w:pPr>
        <w:pStyle w:val="Intro"/>
        <w:jc w:val="both"/>
      </w:pPr>
      <w:r>
        <w:t>This fact sheet explains arrangements for</w:t>
      </w:r>
      <w:r w:rsidR="00E633E8">
        <w:t xml:space="preserve"> delivering skill sets under</w:t>
      </w:r>
      <w:r>
        <w:t xml:space="preserve"> Skills First</w:t>
      </w:r>
    </w:p>
    <w:p w14:paraId="22895846" w14:textId="77777777" w:rsidR="00C41943" w:rsidRDefault="00C41943" w:rsidP="00624A55">
      <w:pPr>
        <w:pStyle w:val="Heading2"/>
        <w:rPr>
          <w:lang w:val="en-AU"/>
        </w:rPr>
        <w:sectPr w:rsidR="00C41943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051E01B2" w14:textId="205F90E5" w:rsidR="00470A9F" w:rsidRPr="00D77DBD" w:rsidRDefault="00E43269" w:rsidP="008B69CE">
      <w:pPr>
        <w:pStyle w:val="Heading2"/>
        <w:rPr>
          <w:lang w:val="en-US"/>
        </w:rPr>
      </w:pPr>
      <w:r>
        <w:rPr>
          <w:lang w:val="en-US"/>
        </w:rPr>
        <w:t>S</w:t>
      </w:r>
      <w:r w:rsidR="00723B4A" w:rsidRPr="00D77DBD">
        <w:rPr>
          <w:lang w:val="en-US"/>
        </w:rPr>
        <w:t xml:space="preserve">kill </w:t>
      </w:r>
      <w:r w:rsidR="00723B4A">
        <w:rPr>
          <w:lang w:val="en-US"/>
        </w:rPr>
        <w:t>s</w:t>
      </w:r>
      <w:r w:rsidR="00723B4A" w:rsidRPr="00D77DBD">
        <w:rPr>
          <w:lang w:val="en-US"/>
        </w:rPr>
        <w:t>ets</w:t>
      </w:r>
      <w:r w:rsidR="00723B4A">
        <w:rPr>
          <w:lang w:val="en-US"/>
        </w:rPr>
        <w:t xml:space="preserve"> definition</w:t>
      </w:r>
    </w:p>
    <w:p w14:paraId="6B33B4F8" w14:textId="7A910773" w:rsidR="00470A9F" w:rsidRPr="00EB3309" w:rsidRDefault="00E633E8" w:rsidP="008B69CE">
      <w:pPr>
        <w:jc w:val="both"/>
      </w:pPr>
      <w:r>
        <w:t>We define a</w:t>
      </w:r>
      <w:r w:rsidR="00470A9F">
        <w:t xml:space="preserve"> skill set</w:t>
      </w:r>
      <w:r>
        <w:t xml:space="preserve"> as</w:t>
      </w:r>
      <w:r w:rsidR="00470A9F" w:rsidRPr="00EB3309">
        <w:t xml:space="preserve"> a</w:t>
      </w:r>
      <w:r w:rsidR="00470A9F">
        <w:t xml:space="preserve">n </w:t>
      </w:r>
      <w:r w:rsidR="00470A9F" w:rsidRPr="000E2B9E">
        <w:t>accredited</w:t>
      </w:r>
      <w:r w:rsidR="00470A9F" w:rsidRPr="00EB3309">
        <w:t xml:space="preserve"> program that’s on the Funded </w:t>
      </w:r>
      <w:r w:rsidR="00470A9F">
        <w:t>Skill Set</w:t>
      </w:r>
      <w:r w:rsidR="00470A9F" w:rsidRPr="00EB3309">
        <w:t xml:space="preserve"> List</w:t>
      </w:r>
      <w:r>
        <w:t>. This</w:t>
      </w:r>
      <w:r w:rsidR="00470A9F" w:rsidRPr="00EB3309">
        <w:t xml:space="preserve"> may include:</w:t>
      </w:r>
    </w:p>
    <w:p w14:paraId="39B28DD9" w14:textId="77777777" w:rsidR="00470A9F" w:rsidRPr="00EB3309" w:rsidRDefault="00470A9F" w:rsidP="008B69CE">
      <w:pPr>
        <w:pStyle w:val="ListParagraph"/>
        <w:numPr>
          <w:ilvl w:val="0"/>
          <w:numId w:val="24"/>
        </w:numPr>
        <w:spacing w:after="120" w:line="240" w:lineRule="auto"/>
        <w:jc w:val="both"/>
      </w:pPr>
      <w:r w:rsidRPr="00EB3309">
        <w:t xml:space="preserve">an accredited course with the title ‘Course in…’ </w:t>
      </w:r>
      <w:r w:rsidRPr="001B5AAE">
        <w:t>(a Course In)</w:t>
      </w:r>
    </w:p>
    <w:p w14:paraId="11F88C23" w14:textId="77777777" w:rsidR="00470A9F" w:rsidRPr="00EB3309" w:rsidRDefault="00470A9F" w:rsidP="008B69CE">
      <w:pPr>
        <w:pStyle w:val="ListParagraph"/>
        <w:numPr>
          <w:ilvl w:val="0"/>
          <w:numId w:val="24"/>
        </w:numPr>
        <w:spacing w:after="120" w:line="240" w:lineRule="auto"/>
        <w:jc w:val="both"/>
      </w:pPr>
      <w:r w:rsidRPr="00EB3309">
        <w:t xml:space="preserve">a nationally recognised </w:t>
      </w:r>
      <w:r>
        <w:t>skill set from a Training Package</w:t>
      </w:r>
    </w:p>
    <w:p w14:paraId="0724C714" w14:textId="77777777" w:rsidR="00470A9F" w:rsidRPr="00EB3309" w:rsidRDefault="00470A9F" w:rsidP="008B69CE">
      <w:pPr>
        <w:pStyle w:val="ListParagraph"/>
        <w:numPr>
          <w:ilvl w:val="0"/>
          <w:numId w:val="24"/>
        </w:numPr>
        <w:spacing w:after="120" w:line="240" w:lineRule="auto"/>
        <w:jc w:val="both"/>
      </w:pPr>
      <w:r w:rsidRPr="00EB3309">
        <w:t>a</w:t>
      </w:r>
      <w:r>
        <w:t>n accredited</w:t>
      </w:r>
      <w:r w:rsidRPr="00EB3309">
        <w:t xml:space="preserve"> single subject</w:t>
      </w:r>
    </w:p>
    <w:p w14:paraId="28F5EBC3" w14:textId="77777777" w:rsidR="00470A9F" w:rsidRPr="00EB3309" w:rsidRDefault="00470A9F" w:rsidP="008B69CE">
      <w:pPr>
        <w:pStyle w:val="ListParagraph"/>
        <w:numPr>
          <w:ilvl w:val="0"/>
          <w:numId w:val="24"/>
        </w:numPr>
        <w:spacing w:after="120" w:line="240" w:lineRule="auto"/>
        <w:jc w:val="both"/>
      </w:pPr>
      <w:r w:rsidRPr="00EB3309">
        <w:t xml:space="preserve">a group of </w:t>
      </w:r>
      <w:r>
        <w:t xml:space="preserve">accredited </w:t>
      </w:r>
      <w:r w:rsidRPr="00EB3309">
        <w:t>subjects approved by the Department</w:t>
      </w:r>
      <w:r>
        <w:t xml:space="preserve"> of Education and Training (the Department)</w:t>
      </w:r>
      <w:r w:rsidRPr="00EB3309">
        <w:t>.  </w:t>
      </w:r>
    </w:p>
    <w:p w14:paraId="01F1E864" w14:textId="571A77A4" w:rsidR="00A72B99" w:rsidRDefault="00A72B99" w:rsidP="006D4747">
      <w:pPr>
        <w:jc w:val="both"/>
      </w:pPr>
      <w:r w:rsidRPr="00C736FB">
        <w:t>All skill sets funded under Skills First are in the Funded Program</w:t>
      </w:r>
      <w:r w:rsidR="006D1314">
        <w:t>s</w:t>
      </w:r>
      <w:r w:rsidRPr="00C736FB">
        <w:t xml:space="preserve"> Report and are marked as skill sets in the ‘Program Type’ column</w:t>
      </w:r>
      <w:r>
        <w:t>.</w:t>
      </w:r>
    </w:p>
    <w:p w14:paraId="3A38E021" w14:textId="55D01DF5" w:rsidR="00470A9F" w:rsidRPr="002D378B" w:rsidRDefault="00723B4A" w:rsidP="002D378B">
      <w:pPr>
        <w:pStyle w:val="Heading2"/>
        <w:jc w:val="both"/>
      </w:pPr>
      <w:r>
        <w:t>Purpose of skill sets</w:t>
      </w:r>
    </w:p>
    <w:p w14:paraId="32FB1640" w14:textId="7E306BFB" w:rsidR="00470A9F" w:rsidRDefault="00470A9F" w:rsidP="008B69CE">
      <w:pPr>
        <w:jc w:val="both"/>
        <w:rPr>
          <w:color w:val="FF0000"/>
        </w:rPr>
      </w:pPr>
      <w:r>
        <w:t>Skill set</w:t>
      </w:r>
      <w:r w:rsidRPr="00CF3F07">
        <w:t xml:space="preserve">s complement </w:t>
      </w:r>
      <w:r w:rsidR="00D26DF4">
        <w:t>AQF</w:t>
      </w:r>
      <w:r w:rsidR="00D26DF4" w:rsidRPr="00CF3F07">
        <w:t xml:space="preserve"> </w:t>
      </w:r>
      <w:r w:rsidRPr="00CF3F07">
        <w:t xml:space="preserve">qualifications. </w:t>
      </w:r>
    </w:p>
    <w:p w14:paraId="65915AEE" w14:textId="77777777" w:rsidR="00470A9F" w:rsidRPr="00DD5450" w:rsidRDefault="00470A9F" w:rsidP="008B69CE">
      <w:pPr>
        <w:jc w:val="both"/>
      </w:pPr>
      <w:r>
        <w:t>Skill set</w:t>
      </w:r>
      <w:r w:rsidRPr="00DD5450">
        <w:t xml:space="preserve">s benefit students by giving them: </w:t>
      </w:r>
    </w:p>
    <w:p w14:paraId="145A59D2" w14:textId="296AC14B" w:rsidR="00470A9F" w:rsidRPr="00DD5450" w:rsidRDefault="00470A9F" w:rsidP="008B69CE">
      <w:pPr>
        <w:pStyle w:val="ListParagraph"/>
        <w:numPr>
          <w:ilvl w:val="0"/>
          <w:numId w:val="19"/>
        </w:numPr>
        <w:spacing w:after="120" w:line="240" w:lineRule="auto"/>
        <w:jc w:val="both"/>
      </w:pPr>
      <w:r w:rsidRPr="00DD5450">
        <w:t xml:space="preserve">training pathways to </w:t>
      </w:r>
      <w:r w:rsidR="007556A6">
        <w:t>AQF</w:t>
      </w:r>
      <w:r w:rsidR="007556A6" w:rsidRPr="00DD5450">
        <w:t xml:space="preserve"> </w:t>
      </w:r>
      <w:r w:rsidRPr="00DD5450">
        <w:t xml:space="preserve">qualifications </w:t>
      </w:r>
    </w:p>
    <w:p w14:paraId="69347C58" w14:textId="77777777" w:rsidR="00470A9F" w:rsidRPr="00DD5450" w:rsidRDefault="00470A9F" w:rsidP="008B69CE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specific</w:t>
      </w:r>
      <w:r w:rsidRPr="00DD5450">
        <w:t xml:space="preserve"> skills and general capabilities</w:t>
      </w:r>
    </w:p>
    <w:p w14:paraId="1D931882" w14:textId="77777777" w:rsidR="00470A9F" w:rsidRPr="00DD5450" w:rsidRDefault="00470A9F" w:rsidP="008B69CE">
      <w:pPr>
        <w:pStyle w:val="ListParagraph"/>
        <w:numPr>
          <w:ilvl w:val="0"/>
          <w:numId w:val="19"/>
        </w:numPr>
        <w:spacing w:after="120" w:line="240" w:lineRule="auto"/>
        <w:jc w:val="both"/>
      </w:pPr>
      <w:r w:rsidRPr="00DD5450">
        <w:t xml:space="preserve">more career opportunities within their workplace and between employers. </w:t>
      </w:r>
    </w:p>
    <w:p w14:paraId="2F1FF337" w14:textId="2E372287" w:rsidR="00470A9F" w:rsidRDefault="00470A9F" w:rsidP="008B69CE">
      <w:pPr>
        <w:jc w:val="both"/>
        <w:rPr>
          <w:rFonts w:asciiTheme="majorHAnsi" w:eastAsiaTheme="majorEastAsia" w:hAnsiTheme="majorHAnsi" w:cstheme="majorBidi"/>
          <w:b/>
          <w:caps/>
          <w:color w:val="0071CE" w:themeColor="accent3"/>
          <w:sz w:val="26"/>
          <w:szCs w:val="26"/>
          <w:lang w:val="en-US"/>
        </w:rPr>
      </w:pPr>
      <w:r w:rsidRPr="00DD5450">
        <w:t xml:space="preserve">In the immediate term, </w:t>
      </w:r>
      <w:r>
        <w:t>skill set</w:t>
      </w:r>
      <w:r w:rsidRPr="00DD5450">
        <w:t xml:space="preserve">s are a means of re-skilling that can help Victorians respond to a rapidly changing post-COVID-19 economy and job market. </w:t>
      </w:r>
    </w:p>
    <w:p w14:paraId="758FD9D3" w14:textId="0218F13A" w:rsidR="00470A9F" w:rsidRPr="002B770A" w:rsidRDefault="00723B4A" w:rsidP="008B69CE">
      <w:pPr>
        <w:pStyle w:val="Heading2"/>
        <w:jc w:val="both"/>
      </w:pPr>
      <w:r>
        <w:t>Allocations</w:t>
      </w:r>
    </w:p>
    <w:p w14:paraId="5779CEAB" w14:textId="095555E5" w:rsidR="00470A9F" w:rsidRDefault="00470A9F" w:rsidP="00742963">
      <w:pPr>
        <w:jc w:val="both"/>
      </w:pPr>
      <w:r w:rsidRPr="00742963">
        <w:t xml:space="preserve">Your Commencement Allocation </w:t>
      </w:r>
      <w:r w:rsidR="000E26B1" w:rsidRPr="00F52C0D">
        <w:rPr>
          <w:rFonts w:ascii="Arial" w:eastAsia="Arial" w:hAnsi="Arial" w:cs="Times New Roman"/>
          <w:lang w:val="en-US"/>
        </w:rPr>
        <w:t>is</w:t>
      </w:r>
      <w:r w:rsidR="000E26B1" w:rsidRPr="00F52C0D">
        <w:rPr>
          <w:rFonts w:ascii="Arial" w:eastAsia="Times New Roman" w:hAnsi="Arial" w:cs="Times New Roman"/>
        </w:rPr>
        <w:t xml:space="preserve"> separated into two parts – commencements for </w:t>
      </w:r>
      <w:r w:rsidR="006E62F6">
        <w:rPr>
          <w:rFonts w:ascii="Arial" w:eastAsia="Times New Roman" w:hAnsi="Arial" w:cs="Times New Roman"/>
        </w:rPr>
        <w:t>AQF</w:t>
      </w:r>
      <w:r w:rsidR="006E62F6" w:rsidRPr="00F52C0D">
        <w:rPr>
          <w:rFonts w:ascii="Arial" w:eastAsia="Times New Roman" w:hAnsi="Arial" w:cs="Times New Roman"/>
        </w:rPr>
        <w:t xml:space="preserve"> qualifications</w:t>
      </w:r>
      <w:r w:rsidR="000E26B1" w:rsidRPr="00F52C0D">
        <w:rPr>
          <w:rFonts w:ascii="Arial" w:eastAsia="Times New Roman" w:hAnsi="Arial" w:cs="Times New Roman"/>
        </w:rPr>
        <w:t xml:space="preserve"> and commencements for skill sets.</w:t>
      </w:r>
      <w:r w:rsidR="00C736FB" w:rsidRPr="00742963">
        <w:t xml:space="preserve"> This is documented </w:t>
      </w:r>
      <w:r w:rsidR="007556A6" w:rsidRPr="00742963">
        <w:t>in your Schedule 2 – Individual Details and Conditions</w:t>
      </w:r>
      <w:r w:rsidR="00742963">
        <w:t>.</w:t>
      </w:r>
    </w:p>
    <w:p w14:paraId="76FA4B9C" w14:textId="4CBFB5FD" w:rsidR="00470A9F" w:rsidRDefault="00993BC6" w:rsidP="008B69CE">
      <w:pPr>
        <w:pStyle w:val="Heading3"/>
        <w:jc w:val="both"/>
        <w:rPr>
          <w:rFonts w:eastAsia="Times New Roman"/>
        </w:rPr>
      </w:pPr>
      <w:r>
        <w:rPr>
          <w:rFonts w:eastAsia="Times New Roman"/>
        </w:rPr>
        <w:t xml:space="preserve">Managing your </w:t>
      </w:r>
      <w:r w:rsidR="00470A9F">
        <w:rPr>
          <w:rFonts w:eastAsia="Times New Roman"/>
        </w:rPr>
        <w:t>Commencement Allocation</w:t>
      </w:r>
    </w:p>
    <w:p w14:paraId="7B33A989" w14:textId="0534FA65" w:rsidR="00470A9F" w:rsidRDefault="006E62F6" w:rsidP="008B69CE">
      <w:pPr>
        <w:jc w:val="both"/>
        <w:rPr>
          <w:lang w:val="en-US"/>
        </w:rPr>
      </w:pPr>
      <w:r>
        <w:rPr>
          <w:lang w:val="en-US"/>
        </w:rPr>
        <w:t>Delivering</w:t>
      </w:r>
      <w:r w:rsidR="00470A9F" w:rsidRPr="00EE07EE">
        <w:rPr>
          <w:lang w:val="en-US"/>
        </w:rPr>
        <w:t xml:space="preserve"> </w:t>
      </w:r>
      <w:r w:rsidR="00470A9F">
        <w:rPr>
          <w:lang w:val="en-US"/>
        </w:rPr>
        <w:t>skill set</w:t>
      </w:r>
      <w:r w:rsidR="00470A9F" w:rsidRPr="00EE07EE">
        <w:rPr>
          <w:lang w:val="en-US"/>
        </w:rPr>
        <w:t xml:space="preserve">s will not count towards your commencements for </w:t>
      </w:r>
      <w:r w:rsidR="00D26DF4">
        <w:rPr>
          <w:lang w:val="en-US"/>
        </w:rPr>
        <w:t>AQF</w:t>
      </w:r>
      <w:r w:rsidR="00D26DF4" w:rsidRPr="00EE07EE">
        <w:rPr>
          <w:lang w:val="en-US"/>
        </w:rPr>
        <w:t xml:space="preserve"> </w:t>
      </w:r>
      <w:r w:rsidR="00470A9F" w:rsidRPr="00EE07EE">
        <w:rPr>
          <w:lang w:val="en-US"/>
        </w:rPr>
        <w:t>qualifications, and vice versa.</w:t>
      </w:r>
    </w:p>
    <w:p w14:paraId="077A3152" w14:textId="6BDA0194" w:rsidR="00EC557D" w:rsidRDefault="00470A9F" w:rsidP="008B69CE">
      <w:pPr>
        <w:jc w:val="both"/>
      </w:pPr>
      <w:r w:rsidRPr="00C829C6">
        <w:t>You can</w:t>
      </w:r>
      <w:r w:rsidR="00723B4A">
        <w:t>’</w:t>
      </w:r>
      <w:r w:rsidRPr="00C829C6">
        <w:t xml:space="preserve">t </w:t>
      </w:r>
      <w:r w:rsidR="00723B4A">
        <w:t>use your</w:t>
      </w:r>
      <w:r w:rsidRPr="00C829C6">
        <w:t xml:space="preserve"> commencements </w:t>
      </w:r>
      <w:r w:rsidR="00723B4A">
        <w:t>for</w:t>
      </w:r>
      <w:r w:rsidRPr="00C829C6">
        <w:t xml:space="preserve"> </w:t>
      </w:r>
      <w:r w:rsidR="00D26DF4">
        <w:t>AQF</w:t>
      </w:r>
      <w:r w:rsidR="00D26DF4" w:rsidRPr="00C829C6">
        <w:t xml:space="preserve"> </w:t>
      </w:r>
      <w:r w:rsidRPr="00C829C6">
        <w:t xml:space="preserve">qualifications for </w:t>
      </w:r>
      <w:r>
        <w:t>skill set</w:t>
      </w:r>
      <w:r w:rsidRPr="00C829C6">
        <w:t xml:space="preserve">s, or vice versa. </w:t>
      </w:r>
    </w:p>
    <w:p w14:paraId="6800CFB8" w14:textId="032FFBA9" w:rsidR="00470A9F" w:rsidRDefault="00470A9F" w:rsidP="008B69CE">
      <w:pPr>
        <w:jc w:val="both"/>
        <w:rPr>
          <w:lang w:val="en-US"/>
        </w:rPr>
      </w:pPr>
      <w:r>
        <w:rPr>
          <w:lang w:val="en-US"/>
        </w:rPr>
        <w:t>You can u</w:t>
      </w:r>
      <w:r w:rsidRPr="00C829C6">
        <w:rPr>
          <w:lang w:val="en-US"/>
        </w:rPr>
        <w:t xml:space="preserve">se SVTS to track how many commencements you’ve used. </w:t>
      </w:r>
      <w:r w:rsidR="00993BC6">
        <w:t>Click on Contracts &gt; Contract Commencement Allocations.</w:t>
      </w:r>
    </w:p>
    <w:p w14:paraId="17F38B15" w14:textId="77777777" w:rsidR="00C736FB" w:rsidRDefault="00C736FB" w:rsidP="00C736FB">
      <w:pPr>
        <w:pStyle w:val="Heading3"/>
        <w:jc w:val="both"/>
        <w:rPr>
          <w:lang w:val="en-US"/>
        </w:rPr>
      </w:pPr>
      <w:r>
        <w:rPr>
          <w:lang w:val="en-US"/>
        </w:rPr>
        <w:t>Additional allocations and additions to Funded Scope</w:t>
      </w:r>
    </w:p>
    <w:p w14:paraId="40FD2E7C" w14:textId="784D94B7" w:rsidR="006E62F6" w:rsidRDefault="006E62F6" w:rsidP="00C736FB">
      <w:pPr>
        <w:jc w:val="both"/>
        <w:rPr>
          <w:lang w:val="en-US"/>
        </w:rPr>
      </w:pPr>
      <w:r>
        <w:rPr>
          <w:lang w:val="en-US"/>
        </w:rPr>
        <w:t>We may offer you the</w:t>
      </w:r>
      <w:r w:rsidR="00C736FB">
        <w:rPr>
          <w:lang w:val="en-US"/>
        </w:rPr>
        <w:t xml:space="preserve"> opportunity to </w:t>
      </w:r>
      <w:r w:rsidR="00C736FB" w:rsidRPr="007227DA">
        <w:rPr>
          <w:lang w:val="en-US"/>
        </w:rPr>
        <w:t xml:space="preserve">apply for </w:t>
      </w:r>
      <w:r w:rsidR="00C736FB">
        <w:rPr>
          <w:lang w:val="en-US"/>
        </w:rPr>
        <w:t xml:space="preserve">additional allocations and </w:t>
      </w:r>
      <w:r w:rsidR="00C736FB" w:rsidRPr="007227DA">
        <w:rPr>
          <w:lang w:val="en-US"/>
        </w:rPr>
        <w:t>addition</w:t>
      </w:r>
      <w:r w:rsidR="00C736FB">
        <w:rPr>
          <w:lang w:val="en-US"/>
        </w:rPr>
        <w:t>s</w:t>
      </w:r>
      <w:r w:rsidR="00C736FB" w:rsidRPr="007227DA">
        <w:rPr>
          <w:lang w:val="en-US"/>
        </w:rPr>
        <w:t xml:space="preserve"> to your Funded Scope</w:t>
      </w:r>
      <w:r w:rsidR="00C736FB">
        <w:rPr>
          <w:lang w:val="en-US"/>
        </w:rPr>
        <w:t xml:space="preserve"> during 2022</w:t>
      </w:r>
      <w:r>
        <w:rPr>
          <w:lang w:val="en-US"/>
        </w:rPr>
        <w:t xml:space="preserve">. </w:t>
      </w:r>
    </w:p>
    <w:p w14:paraId="752B6570" w14:textId="1B0521B3" w:rsidR="00C736FB" w:rsidRDefault="006E62F6" w:rsidP="00C736FB">
      <w:pPr>
        <w:jc w:val="both"/>
        <w:rPr>
          <w:rFonts w:asciiTheme="majorHAnsi" w:eastAsiaTheme="majorEastAsia" w:hAnsiTheme="majorHAnsi" w:cstheme="majorBidi"/>
          <w:b/>
          <w:caps/>
          <w:color w:val="0071CE" w:themeColor="accent3"/>
          <w:sz w:val="26"/>
          <w:szCs w:val="26"/>
          <w:lang w:val="en-US"/>
        </w:rPr>
      </w:pPr>
      <w:r>
        <w:rPr>
          <w:lang w:val="en-US"/>
        </w:rPr>
        <w:t>This depends on</w:t>
      </w:r>
      <w:r w:rsidR="00C736FB" w:rsidRPr="007227DA">
        <w:rPr>
          <w:lang w:val="en-US"/>
        </w:rPr>
        <w:t xml:space="preserve"> how Victoria’s TAFE and training system is meeting the state’s training needs. </w:t>
      </w:r>
      <w:r w:rsidR="00C736FB">
        <w:rPr>
          <w:lang w:val="en-US"/>
        </w:rPr>
        <w:t xml:space="preserve">We will advise you </w:t>
      </w:r>
      <w:r w:rsidR="00D345B6">
        <w:rPr>
          <w:lang w:val="en-US"/>
        </w:rPr>
        <w:t xml:space="preserve">about </w:t>
      </w:r>
      <w:r w:rsidR="00C736FB">
        <w:t>such opportunities via SVTS.</w:t>
      </w:r>
    </w:p>
    <w:p w14:paraId="10A5005A" w14:textId="34A7C1E3" w:rsidR="002546FD" w:rsidRDefault="00C736FB" w:rsidP="002546FD">
      <w:pPr>
        <w:pStyle w:val="Heading3"/>
        <w:jc w:val="both"/>
      </w:pPr>
      <w:r>
        <w:t xml:space="preserve">Literacy and Numeracy Support Program </w:t>
      </w:r>
    </w:p>
    <w:p w14:paraId="250B45AD" w14:textId="4AA746B3" w:rsidR="002546FD" w:rsidRDefault="00864EAC" w:rsidP="002546FD">
      <w:pPr>
        <w:jc w:val="both"/>
        <w:rPr>
          <w:rFonts w:asciiTheme="majorHAnsi" w:eastAsiaTheme="majorEastAsia" w:hAnsiTheme="majorHAnsi" w:cstheme="majorBidi"/>
          <w:b/>
          <w:caps/>
          <w:color w:val="0071CE" w:themeColor="accent3"/>
          <w:sz w:val="26"/>
          <w:szCs w:val="26"/>
          <w:lang w:val="en-US"/>
        </w:rPr>
      </w:pPr>
      <w:r>
        <w:t>Under this program, you can offer</w:t>
      </w:r>
      <w:r w:rsidR="002546FD" w:rsidRPr="008F6482">
        <w:t xml:space="preserve"> customised bundle</w:t>
      </w:r>
      <w:r>
        <w:t>s</w:t>
      </w:r>
      <w:r w:rsidR="002546FD" w:rsidRPr="008F6482">
        <w:t xml:space="preserve"> of </w:t>
      </w:r>
      <w:r>
        <w:t xml:space="preserve">literacy and numeracy support </w:t>
      </w:r>
      <w:r w:rsidR="002546FD" w:rsidRPr="008F6482">
        <w:t xml:space="preserve">units </w:t>
      </w:r>
      <w:r w:rsidR="002546FD">
        <w:t>(</w:t>
      </w:r>
      <w:r w:rsidR="002546FD" w:rsidRPr="008F6482">
        <w:t xml:space="preserve">like a </w:t>
      </w:r>
      <w:r w:rsidR="002546FD">
        <w:t>skill set)</w:t>
      </w:r>
      <w:r>
        <w:t>. However</w:t>
      </w:r>
      <w:r w:rsidR="002546FD" w:rsidRPr="008F6482">
        <w:t xml:space="preserve">, </w:t>
      </w:r>
      <w:r w:rsidR="003B70E4">
        <w:t>training reported under the ‘LNSUPPORT’ course code isn’t</w:t>
      </w:r>
      <w:r w:rsidR="002546FD">
        <w:t xml:space="preserve"> </w:t>
      </w:r>
      <w:r w:rsidR="00C736FB">
        <w:t>considered a skill set</w:t>
      </w:r>
      <w:r w:rsidR="002546FD" w:rsidRPr="008F6482">
        <w:t xml:space="preserve"> and </w:t>
      </w:r>
      <w:r w:rsidR="002546FD">
        <w:t>does</w:t>
      </w:r>
      <w:r>
        <w:t>n</w:t>
      </w:r>
      <w:r w:rsidR="003B70E4">
        <w:t>’</w:t>
      </w:r>
      <w:r>
        <w:t>t</w:t>
      </w:r>
      <w:r w:rsidR="002546FD">
        <w:t xml:space="preserve"> count towards</w:t>
      </w:r>
      <w:r w:rsidR="002546FD" w:rsidRPr="008F6482">
        <w:t xml:space="preserve"> your Commencement Allocation.</w:t>
      </w:r>
    </w:p>
    <w:p w14:paraId="52414910" w14:textId="7FD0BC0B" w:rsidR="00470A9F" w:rsidRDefault="00723B4A" w:rsidP="008B69CE">
      <w:pPr>
        <w:pStyle w:val="Heading2"/>
        <w:jc w:val="both"/>
        <w:rPr>
          <w:lang w:val="en-US"/>
        </w:rPr>
      </w:pPr>
      <w:r>
        <w:rPr>
          <w:lang w:val="en-US"/>
        </w:rPr>
        <w:t>Student participation</w:t>
      </w:r>
    </w:p>
    <w:p w14:paraId="2D9CD8CF" w14:textId="3F970FAF" w:rsidR="00470A9F" w:rsidRPr="00D77DBD" w:rsidRDefault="00274A0B" w:rsidP="008B69CE">
      <w:pPr>
        <w:pStyle w:val="Heading3"/>
        <w:jc w:val="both"/>
        <w:rPr>
          <w:lang w:val="en-US"/>
        </w:rPr>
      </w:pPr>
      <w:r>
        <w:rPr>
          <w:lang w:val="en-US"/>
        </w:rPr>
        <w:t>Eligibility</w:t>
      </w:r>
    </w:p>
    <w:p w14:paraId="31DEF8D0" w14:textId="34B11ACB" w:rsidR="000A3DA7" w:rsidRDefault="000A3DA7" w:rsidP="008B69CE">
      <w:pPr>
        <w:spacing w:before="60"/>
        <w:jc w:val="both"/>
        <w:rPr>
          <w:rFonts w:cstheme="minorHAnsi"/>
        </w:rPr>
      </w:pPr>
      <w:r>
        <w:t xml:space="preserve">Normal </w:t>
      </w:r>
      <w:r w:rsidR="00470A9F" w:rsidRPr="00544BF5">
        <w:rPr>
          <w:rFonts w:cstheme="minorHAnsi"/>
        </w:rPr>
        <w:t>Skills First</w:t>
      </w:r>
      <w:r w:rsidR="00470A9F" w:rsidRPr="00530DEF">
        <w:rPr>
          <w:rFonts w:cstheme="minorHAnsi"/>
          <w:i/>
          <w:iCs/>
        </w:rPr>
        <w:t xml:space="preserve"> </w:t>
      </w:r>
      <w:r w:rsidR="00470A9F" w:rsidRPr="00530DEF">
        <w:rPr>
          <w:rFonts w:cstheme="minorHAnsi"/>
        </w:rPr>
        <w:t>eligibility criteria</w:t>
      </w:r>
      <w:r>
        <w:rPr>
          <w:rFonts w:cstheme="minorHAnsi"/>
        </w:rPr>
        <w:t xml:space="preserve"> apply to skill sets. </w:t>
      </w:r>
    </w:p>
    <w:p w14:paraId="7536498C" w14:textId="2EDEFDEF" w:rsidR="00470A9F" w:rsidRPr="006D1558" w:rsidRDefault="000A3DA7" w:rsidP="008B69CE">
      <w:pPr>
        <w:spacing w:before="60"/>
        <w:jc w:val="both"/>
        <w:rPr>
          <w:rFonts w:cstheme="minorHAnsi"/>
        </w:rPr>
      </w:pPr>
      <w:r>
        <w:rPr>
          <w:rFonts w:cstheme="minorHAnsi"/>
        </w:rPr>
        <w:t xml:space="preserve">However, because skill sets aren’t aligned to a level in the AQF, you don’t have to take into account </w:t>
      </w:r>
      <w:r w:rsidR="00D345B6">
        <w:rPr>
          <w:rFonts w:cstheme="minorHAnsi"/>
        </w:rPr>
        <w:t xml:space="preserve">a student’s </w:t>
      </w:r>
      <w:r>
        <w:rPr>
          <w:rFonts w:cstheme="minorHAnsi"/>
        </w:rPr>
        <w:t xml:space="preserve">past education history for the purpose of the ‘upskilling’ requirement and the ‘2 at level in a lifetime’ limit. </w:t>
      </w:r>
      <w:r w:rsidR="003B70E4">
        <w:rPr>
          <w:rFonts w:cstheme="minorHAnsi"/>
        </w:rPr>
        <w:t>Completed skill sets also aren’t counted when assessing these requirements for future enrolments</w:t>
      </w:r>
      <w:r w:rsidR="006D131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7D81A09" w14:textId="2BF4B4ED" w:rsidR="00470A9F" w:rsidRDefault="00274A0B" w:rsidP="008B69CE">
      <w:pPr>
        <w:pStyle w:val="Heading3"/>
        <w:jc w:val="both"/>
      </w:pPr>
      <w:r>
        <w:t xml:space="preserve">Doing </w:t>
      </w:r>
      <w:r w:rsidR="00470A9F">
        <w:t>a skill set and a</w:t>
      </w:r>
      <w:r>
        <w:t>n</w:t>
      </w:r>
      <w:r w:rsidR="00470A9F">
        <w:t xml:space="preserve"> </w:t>
      </w:r>
      <w:r>
        <w:t>AQF</w:t>
      </w:r>
      <w:r w:rsidR="00470A9F">
        <w:t xml:space="preserve"> qualification at the same time</w:t>
      </w:r>
    </w:p>
    <w:p w14:paraId="0FCAE59B" w14:textId="3ECFF173" w:rsidR="00723B4A" w:rsidRDefault="00274A0B" w:rsidP="008B69CE">
      <w:pPr>
        <w:jc w:val="both"/>
        <w:sectPr w:rsidR="00723B4A" w:rsidSect="00C92EC6">
          <w:type w:val="continuous"/>
          <w:pgSz w:w="11900" w:h="16840"/>
          <w:pgMar w:top="2155" w:right="1134" w:bottom="1418" w:left="1134" w:header="709" w:footer="709" w:gutter="0"/>
          <w:cols w:num="2" w:space="708"/>
          <w:docGrid w:linePitch="360"/>
        </w:sectPr>
      </w:pPr>
      <w:r>
        <w:t>T</w:t>
      </w:r>
      <w:r w:rsidR="00470A9F" w:rsidRPr="006119D9">
        <w:t xml:space="preserve">he ‘two at a time’ </w:t>
      </w:r>
      <w:r w:rsidR="00470A9F">
        <w:t>limit applies</w:t>
      </w:r>
      <w:r w:rsidR="00470A9F" w:rsidRPr="006119D9">
        <w:t xml:space="preserve"> </w:t>
      </w:r>
      <w:r w:rsidR="00470A9F">
        <w:t xml:space="preserve">collectively </w:t>
      </w:r>
      <w:r w:rsidR="008530F9">
        <w:t>across</w:t>
      </w:r>
      <w:r w:rsidR="00511842">
        <w:t xml:space="preserve"> </w:t>
      </w:r>
      <w:r w:rsidR="00470A9F">
        <w:t xml:space="preserve">skill sets and </w:t>
      </w:r>
      <w:r w:rsidR="00D26DF4">
        <w:t xml:space="preserve">AQF </w:t>
      </w:r>
      <w:r w:rsidR="00470A9F" w:rsidRPr="006119D9">
        <w:t xml:space="preserve">qualifications. For example, a student </w:t>
      </w:r>
      <w:r w:rsidR="00470A9F">
        <w:t>cannot</w:t>
      </w:r>
      <w:r w:rsidR="00470A9F" w:rsidRPr="006119D9">
        <w:t xml:space="preserve"> undertake two </w:t>
      </w:r>
      <w:r w:rsidR="00470A9F">
        <w:t>skill set</w:t>
      </w:r>
      <w:r w:rsidR="00470A9F" w:rsidRPr="006119D9">
        <w:t xml:space="preserve">s and one </w:t>
      </w:r>
      <w:r w:rsidR="00D26DF4">
        <w:t xml:space="preserve">AQF </w:t>
      </w:r>
      <w:r w:rsidR="00470A9F" w:rsidRPr="006119D9">
        <w:t xml:space="preserve">qualification </w:t>
      </w:r>
      <w:r w:rsidR="00470A9F">
        <w:t>at the same time.</w:t>
      </w:r>
    </w:p>
    <w:p w14:paraId="1A137696" w14:textId="3FD3A032" w:rsidR="00470A9F" w:rsidRDefault="00D26DF4" w:rsidP="008B69CE">
      <w:pPr>
        <w:pStyle w:val="Heading3"/>
        <w:jc w:val="both"/>
      </w:pPr>
      <w:r>
        <w:lastRenderedPageBreak/>
        <w:t>Number of</w:t>
      </w:r>
      <w:r w:rsidR="00470A9F">
        <w:t xml:space="preserve"> skill sets in a year</w:t>
      </w:r>
    </w:p>
    <w:p w14:paraId="1459E599" w14:textId="029D8932" w:rsidR="009269E2" w:rsidRDefault="00470A9F" w:rsidP="008B69CE">
      <w:pPr>
        <w:jc w:val="both"/>
      </w:pPr>
      <w:r>
        <w:t>T</w:t>
      </w:r>
      <w:r w:rsidRPr="006119D9">
        <w:t xml:space="preserve">he ‘two </w:t>
      </w:r>
      <w:r>
        <w:t>in a year</w:t>
      </w:r>
      <w:r w:rsidRPr="006119D9">
        <w:t xml:space="preserve">’ </w:t>
      </w:r>
      <w:r>
        <w:t>limit applies</w:t>
      </w:r>
      <w:r w:rsidR="00D26DF4">
        <w:t>,</w:t>
      </w:r>
      <w:r>
        <w:t xml:space="preserve"> but skill sets and </w:t>
      </w:r>
      <w:r w:rsidR="00D26DF4">
        <w:t xml:space="preserve">AQF </w:t>
      </w:r>
      <w:r>
        <w:t xml:space="preserve">qualifications are treated separately. </w:t>
      </w:r>
    </w:p>
    <w:p w14:paraId="77B91B07" w14:textId="04B3FF09" w:rsidR="00470A9F" w:rsidRPr="006119D9" w:rsidRDefault="00470A9F" w:rsidP="008B69CE">
      <w:pPr>
        <w:jc w:val="both"/>
      </w:pPr>
      <w:r>
        <w:t>This means</w:t>
      </w:r>
      <w:r w:rsidRPr="006119D9">
        <w:t xml:space="preserve"> a student </w:t>
      </w:r>
      <w:r>
        <w:t xml:space="preserve">can </w:t>
      </w:r>
      <w:r w:rsidRPr="00484315">
        <w:t>commence a maximum of</w:t>
      </w:r>
      <w:r w:rsidRPr="006119D9">
        <w:t xml:space="preserve"> two </w:t>
      </w:r>
      <w:r>
        <w:t>skill set</w:t>
      </w:r>
      <w:r w:rsidRPr="006119D9">
        <w:t xml:space="preserve">s and </w:t>
      </w:r>
      <w:r>
        <w:t>two</w:t>
      </w:r>
      <w:r w:rsidRPr="006119D9">
        <w:t xml:space="preserve"> </w:t>
      </w:r>
      <w:r w:rsidR="00D26DF4">
        <w:t xml:space="preserve">AQF </w:t>
      </w:r>
      <w:r w:rsidRPr="006119D9">
        <w:t>qualification</w:t>
      </w:r>
      <w:r w:rsidR="00D26DF4">
        <w:t>s</w:t>
      </w:r>
      <w:r w:rsidRPr="006119D9">
        <w:t xml:space="preserve"> </w:t>
      </w:r>
      <w:r>
        <w:t xml:space="preserve">in a calendar year, but </w:t>
      </w:r>
      <w:r w:rsidR="00D26DF4">
        <w:t xml:space="preserve">can’t </w:t>
      </w:r>
      <w:r w:rsidR="00723B4A">
        <w:t>do</w:t>
      </w:r>
      <w:r w:rsidR="00D26DF4">
        <w:t xml:space="preserve"> </w:t>
      </w:r>
      <w:r>
        <w:t>more than two at the same time.</w:t>
      </w:r>
    </w:p>
    <w:p w14:paraId="386269E1" w14:textId="34C0C840" w:rsidR="00470A9F" w:rsidRPr="007A57B3" w:rsidRDefault="00EC557D" w:rsidP="008B69CE">
      <w:pPr>
        <w:pStyle w:val="Heading3"/>
        <w:jc w:val="both"/>
        <w:rPr>
          <w:lang w:val="en-US"/>
        </w:rPr>
      </w:pPr>
      <w:r>
        <w:rPr>
          <w:lang w:val="en-US"/>
        </w:rPr>
        <w:t xml:space="preserve">Evidence </w:t>
      </w:r>
      <w:r w:rsidR="006E62F6">
        <w:rPr>
          <w:lang w:val="en-US"/>
        </w:rPr>
        <w:t>of eligibility</w:t>
      </w:r>
    </w:p>
    <w:p w14:paraId="3284B933" w14:textId="6F9C4465" w:rsidR="00470A9F" w:rsidRDefault="00470A9F" w:rsidP="008B69CE">
      <w:pPr>
        <w:jc w:val="both"/>
      </w:pPr>
      <w:r>
        <w:t>The</w:t>
      </w:r>
      <w:r w:rsidRPr="007A57B3">
        <w:t xml:space="preserve"> normal </w:t>
      </w:r>
      <w:r w:rsidRPr="00544BF5">
        <w:t>Skills First</w:t>
      </w:r>
      <w:r w:rsidRPr="007A57B3">
        <w:t xml:space="preserve"> requirements for sighting and retaining evidence of eligibility </w:t>
      </w:r>
      <w:r>
        <w:t>apply to skill sets.</w:t>
      </w:r>
    </w:p>
    <w:p w14:paraId="28C1B8EA" w14:textId="2293A7D2" w:rsidR="00470A9F" w:rsidRDefault="00EC557D" w:rsidP="008B69CE">
      <w:pPr>
        <w:jc w:val="both"/>
        <w:rPr>
          <w:rFonts w:asciiTheme="majorHAnsi" w:eastAsiaTheme="majorEastAsia" w:hAnsiTheme="majorHAnsi" w:cstheme="majorBidi"/>
          <w:b/>
          <w:caps/>
          <w:color w:val="0071CE" w:themeColor="accent3"/>
          <w:sz w:val="26"/>
          <w:szCs w:val="26"/>
          <w:lang w:val="en-US"/>
        </w:rPr>
      </w:pPr>
      <w:r>
        <w:t>T</w:t>
      </w:r>
      <w:r w:rsidR="00470A9F">
        <w:rPr>
          <w:rFonts w:eastAsia="Times New Roman"/>
        </w:rPr>
        <w:t>he education history section</w:t>
      </w:r>
      <w:r w:rsidR="00470A9F" w:rsidRPr="00614423">
        <w:t xml:space="preserve"> </w:t>
      </w:r>
      <w:r w:rsidR="00470A9F">
        <w:t>of</w:t>
      </w:r>
      <w:r w:rsidR="00470A9F" w:rsidRPr="00614423">
        <w:t xml:space="preserve"> the Evidence of Eligibility and Student Declaration Form </w:t>
      </w:r>
      <w:r>
        <w:t>will</w:t>
      </w:r>
      <w:r w:rsidRPr="00614423">
        <w:t xml:space="preserve"> </w:t>
      </w:r>
      <w:r w:rsidR="00470A9F" w:rsidRPr="00614423">
        <w:t xml:space="preserve">help you assess whether a person is eligible for a </w:t>
      </w:r>
      <w:r w:rsidR="00470A9F">
        <w:t>skill set</w:t>
      </w:r>
      <w:r w:rsidR="00470A9F" w:rsidRPr="00614423">
        <w:t xml:space="preserve"> and what evidence of eligibility </w:t>
      </w:r>
      <w:r w:rsidR="00470A9F">
        <w:t>you must</w:t>
      </w:r>
      <w:r w:rsidR="00470A9F" w:rsidRPr="00614423">
        <w:t xml:space="preserve"> sight and retain.</w:t>
      </w:r>
    </w:p>
    <w:p w14:paraId="38EB91CE" w14:textId="564739DC" w:rsidR="00470A9F" w:rsidRPr="0051364F" w:rsidRDefault="00723B4A" w:rsidP="008B69CE">
      <w:pPr>
        <w:pStyle w:val="Heading2"/>
        <w:jc w:val="both"/>
        <w:rPr>
          <w:lang w:val="en-US"/>
        </w:rPr>
      </w:pPr>
      <w:r>
        <w:rPr>
          <w:lang w:val="en-US"/>
        </w:rPr>
        <w:t>Fees and payment</w:t>
      </w:r>
    </w:p>
    <w:p w14:paraId="40455591" w14:textId="4529004C" w:rsidR="00470A9F" w:rsidRDefault="009269E2" w:rsidP="008B69CE">
      <w:pPr>
        <w:pStyle w:val="Heading3"/>
        <w:jc w:val="both"/>
      </w:pPr>
      <w:r>
        <w:t>T</w:t>
      </w:r>
      <w:r w:rsidR="002546FD">
        <w:t>uition fees</w:t>
      </w:r>
    </w:p>
    <w:p w14:paraId="3EF06B53" w14:textId="7D335B0C" w:rsidR="00470A9F" w:rsidRDefault="00470A9F" w:rsidP="008B69CE">
      <w:pPr>
        <w:jc w:val="both"/>
      </w:pPr>
      <w:r>
        <w:rPr>
          <w:lang w:val="en-US"/>
        </w:rPr>
        <w:t xml:space="preserve">As with any other </w:t>
      </w:r>
      <w:r w:rsidRPr="00544BF5">
        <w:rPr>
          <w:lang w:val="en-US"/>
        </w:rPr>
        <w:t>Skills First</w:t>
      </w:r>
      <w:r w:rsidRPr="00A31187">
        <w:rPr>
          <w:i/>
          <w:lang w:val="en-US"/>
        </w:rPr>
        <w:t xml:space="preserve"> </w:t>
      </w:r>
      <w:r>
        <w:rPr>
          <w:lang w:val="en-US"/>
        </w:rPr>
        <w:t>training, y</w:t>
      </w:r>
      <w:r w:rsidRPr="00563221">
        <w:rPr>
          <w:lang w:val="en-US"/>
        </w:rPr>
        <w:t>ou can</w:t>
      </w:r>
      <w:r w:rsidDel="00470077">
        <w:rPr>
          <w:lang w:val="en-US"/>
        </w:rPr>
        <w:t xml:space="preserve"> </w:t>
      </w:r>
      <w:r>
        <w:rPr>
          <w:lang w:val="en-US"/>
        </w:rPr>
        <w:t xml:space="preserve">determine the tuition fee </w:t>
      </w:r>
      <w:r w:rsidRPr="00563221">
        <w:rPr>
          <w:lang w:val="en-US"/>
        </w:rPr>
        <w:t xml:space="preserve">for </w:t>
      </w:r>
      <w:r>
        <w:rPr>
          <w:lang w:val="en-US"/>
        </w:rPr>
        <w:t>each skill set</w:t>
      </w:r>
      <w:r w:rsidR="002546FD">
        <w:rPr>
          <w:lang w:val="en-US"/>
        </w:rPr>
        <w:t xml:space="preserve">. Normal </w:t>
      </w:r>
      <w:r>
        <w:t xml:space="preserve">concession </w:t>
      </w:r>
      <w:r w:rsidR="002546FD">
        <w:t xml:space="preserve">and </w:t>
      </w:r>
      <w:r w:rsidR="00723B4A">
        <w:t>f</w:t>
      </w:r>
      <w:r>
        <w:t xml:space="preserve">ee </w:t>
      </w:r>
      <w:r w:rsidR="00723B4A">
        <w:t>w</w:t>
      </w:r>
      <w:r>
        <w:t>aiver</w:t>
      </w:r>
      <w:r w:rsidR="002546FD">
        <w:t xml:space="preserve"> setting</w:t>
      </w:r>
      <w:r w:rsidR="009269E2">
        <w:t>s</w:t>
      </w:r>
      <w:r w:rsidR="002546FD">
        <w:t xml:space="preserve"> apply</w:t>
      </w:r>
      <w:r>
        <w:t>.</w:t>
      </w:r>
    </w:p>
    <w:p w14:paraId="28522C37" w14:textId="56AF01E8" w:rsidR="00470A9F" w:rsidRPr="00D77DBD" w:rsidRDefault="002546FD" w:rsidP="008B69CE">
      <w:pPr>
        <w:pStyle w:val="Heading3"/>
        <w:jc w:val="both"/>
        <w:rPr>
          <w:lang w:val="en-US"/>
        </w:rPr>
      </w:pPr>
      <w:r>
        <w:rPr>
          <w:lang w:val="en-US"/>
        </w:rPr>
        <w:t>Subsidies and fee contributions</w:t>
      </w:r>
    </w:p>
    <w:p w14:paraId="73770462" w14:textId="00413A07" w:rsidR="00470A9F" w:rsidRPr="00123CEF" w:rsidRDefault="00470A9F" w:rsidP="008B69CE">
      <w:pPr>
        <w:jc w:val="both"/>
      </w:pPr>
      <w:r>
        <w:rPr>
          <w:lang w:val="en-US"/>
        </w:rPr>
        <w:t>Skill sets will</w:t>
      </w:r>
      <w:r w:rsidRPr="005B29F3">
        <w:rPr>
          <w:lang w:val="en-US"/>
        </w:rPr>
        <w:t xml:space="preserve"> receive the hourly subsidy </w:t>
      </w:r>
      <w:r w:rsidRPr="00A00D6C">
        <w:rPr>
          <w:lang w:val="en-US"/>
        </w:rPr>
        <w:t xml:space="preserve">stated </w:t>
      </w:r>
      <w:r>
        <w:t>i</w:t>
      </w:r>
      <w:r w:rsidRPr="00123CEF">
        <w:t xml:space="preserve">n the </w:t>
      </w:r>
      <w:r w:rsidRPr="00123CEF">
        <w:rPr>
          <w:lang w:val="en-US"/>
        </w:rPr>
        <w:t xml:space="preserve">Funded </w:t>
      </w:r>
      <w:r w:rsidR="002546FD">
        <w:rPr>
          <w:lang w:val="en-US"/>
        </w:rPr>
        <w:t>Programs Report</w:t>
      </w:r>
      <w:r w:rsidR="00511842">
        <w:rPr>
          <w:lang w:val="en-US"/>
        </w:rPr>
        <w:t>,</w:t>
      </w:r>
      <w:r w:rsidRPr="00123CEF">
        <w:rPr>
          <w:lang w:val="en-US"/>
        </w:rPr>
        <w:t xml:space="preserve"> </w:t>
      </w:r>
      <w:r>
        <w:rPr>
          <w:lang w:val="en-US"/>
        </w:rPr>
        <w:t>together with</w:t>
      </w:r>
      <w:r w:rsidRPr="00123CEF">
        <w:rPr>
          <w:lang w:val="en-US"/>
        </w:rPr>
        <w:t xml:space="preserve"> the</w:t>
      </w:r>
      <w:r>
        <w:rPr>
          <w:lang w:val="en-US"/>
        </w:rPr>
        <w:t xml:space="preserve"> applicable</w:t>
      </w:r>
      <w:r w:rsidRPr="00123CEF">
        <w:rPr>
          <w:lang w:val="en-US"/>
        </w:rPr>
        <w:t>:</w:t>
      </w:r>
    </w:p>
    <w:p w14:paraId="37F00B9A" w14:textId="5386851E" w:rsidR="00470A9F" w:rsidRPr="0050556E" w:rsidRDefault="00470A9F" w:rsidP="008B69C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544BF5">
        <w:rPr>
          <w:lang w:val="en-US"/>
        </w:rPr>
        <w:t>Skills First</w:t>
      </w:r>
      <w:r w:rsidRPr="003D412A">
        <w:rPr>
          <w:lang w:val="en-US"/>
        </w:rPr>
        <w:t xml:space="preserve"> </w:t>
      </w:r>
      <w:r w:rsidRPr="005B29F3">
        <w:rPr>
          <w:lang w:val="en-US"/>
        </w:rPr>
        <w:t>maximum concession contribution rates</w:t>
      </w:r>
      <w:r w:rsidRPr="003D412A">
        <w:rPr>
          <w:i/>
          <w:iCs/>
          <w:lang w:val="en-US"/>
        </w:rPr>
        <w:t xml:space="preserve"> </w:t>
      </w:r>
    </w:p>
    <w:p w14:paraId="0EF9F149" w14:textId="240AA130" w:rsidR="00470A9F" w:rsidRPr="0050556E" w:rsidRDefault="00470A9F" w:rsidP="008B69C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544BF5">
        <w:rPr>
          <w:lang w:val="en-US"/>
        </w:rPr>
        <w:t>Skills First</w:t>
      </w:r>
      <w:r w:rsidRPr="003D412A">
        <w:rPr>
          <w:lang w:val="en-US"/>
        </w:rPr>
        <w:t xml:space="preserve"> </w:t>
      </w:r>
      <w:r w:rsidRPr="005B29F3">
        <w:rPr>
          <w:lang w:val="en-US"/>
        </w:rPr>
        <w:t xml:space="preserve">maximum </w:t>
      </w:r>
      <w:r>
        <w:rPr>
          <w:lang w:val="en-US"/>
        </w:rPr>
        <w:t xml:space="preserve">fee waiver </w:t>
      </w:r>
      <w:r w:rsidRPr="005B29F3">
        <w:rPr>
          <w:lang w:val="en-US"/>
        </w:rPr>
        <w:t>contribution rates</w:t>
      </w:r>
      <w:r w:rsidRPr="003D412A">
        <w:rPr>
          <w:i/>
          <w:iCs/>
          <w:lang w:val="en-US"/>
        </w:rPr>
        <w:t xml:space="preserve"> </w:t>
      </w:r>
    </w:p>
    <w:p w14:paraId="25AA24EF" w14:textId="2ABBF111" w:rsidR="00470A9F" w:rsidRPr="003D412A" w:rsidRDefault="00470A9F" w:rsidP="008B69C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544BF5">
        <w:rPr>
          <w:lang w:val="en-US"/>
        </w:rPr>
        <w:t>Skills First</w:t>
      </w:r>
      <w:r w:rsidRPr="003D412A">
        <w:rPr>
          <w:lang w:val="en-US"/>
        </w:rPr>
        <w:t xml:space="preserve"> loadings</w:t>
      </w:r>
      <w:r>
        <w:rPr>
          <w:lang w:val="en-US"/>
        </w:rPr>
        <w:t>.</w:t>
      </w:r>
    </w:p>
    <w:p w14:paraId="0B57AD22" w14:textId="26002889" w:rsidR="00470A9F" w:rsidRPr="003D45A1" w:rsidRDefault="00723B4A" w:rsidP="008B69CE">
      <w:pPr>
        <w:pStyle w:val="Heading2"/>
        <w:jc w:val="both"/>
      </w:pPr>
      <w:r w:rsidRPr="003D45A1">
        <w:t>Reporting</w:t>
      </w:r>
    </w:p>
    <w:p w14:paraId="3BE88124" w14:textId="12454F0F" w:rsidR="00470A9F" w:rsidRDefault="00470A9F" w:rsidP="00360CBF">
      <w:pPr>
        <w:jc w:val="both"/>
      </w:pPr>
      <w:r w:rsidRPr="003D45A1">
        <w:t xml:space="preserve">You must report </w:t>
      </w:r>
      <w:r>
        <w:t>skill set</w:t>
      </w:r>
      <w:r w:rsidRPr="003D45A1">
        <w:t>s training activity via SVTS using the Funding Source Identifier – State Training Authority</w:t>
      </w:r>
      <w:r w:rsidR="002546FD">
        <w:t xml:space="preserve"> </w:t>
      </w:r>
      <w:r>
        <w:t xml:space="preserve">GSP. </w:t>
      </w:r>
    </w:p>
    <w:p w14:paraId="3D31FBE6" w14:textId="3E97B28C" w:rsidR="009269E2" w:rsidRPr="00F26F6F" w:rsidRDefault="001A4E05" w:rsidP="00F26F6F">
      <w:pPr>
        <w:pStyle w:val="Heading2"/>
        <w:jc w:val="both"/>
      </w:pPr>
      <w:r>
        <w:br w:type="column"/>
      </w:r>
      <w:r w:rsidR="00723B4A" w:rsidRPr="00F26F6F">
        <w:t>Pre-training review</w:t>
      </w:r>
    </w:p>
    <w:p w14:paraId="5A87AD42" w14:textId="77777777" w:rsidR="00723B4A" w:rsidRDefault="009269E2" w:rsidP="009269E2">
      <w:pPr>
        <w:jc w:val="both"/>
        <w:rPr>
          <w:lang w:val="en-US"/>
        </w:rPr>
      </w:pPr>
      <w:r>
        <w:rPr>
          <w:lang w:val="en-US"/>
        </w:rPr>
        <w:t>T</w:t>
      </w:r>
      <w:r w:rsidRPr="007C6804">
        <w:rPr>
          <w:lang w:val="en-US"/>
        </w:rPr>
        <w:t>he Pre-Training Review is a fundamental component of the Contract</w:t>
      </w:r>
      <w:r>
        <w:rPr>
          <w:lang w:val="en-US"/>
        </w:rPr>
        <w:t xml:space="preserve"> and is a requirement for skill sets</w:t>
      </w:r>
      <w:r w:rsidRPr="007C6804">
        <w:rPr>
          <w:lang w:val="en-US"/>
        </w:rPr>
        <w:t xml:space="preserve">. </w:t>
      </w:r>
    </w:p>
    <w:p w14:paraId="38586360" w14:textId="5210688C" w:rsidR="00723B4A" w:rsidRDefault="009269E2" w:rsidP="009269E2">
      <w:pPr>
        <w:jc w:val="both"/>
        <w:rPr>
          <w:lang w:val="en-US"/>
        </w:rPr>
      </w:pPr>
      <w:r w:rsidRPr="00875992">
        <w:rPr>
          <w:lang w:val="en-US"/>
        </w:rPr>
        <w:t xml:space="preserve">You can </w:t>
      </w:r>
      <w:r w:rsidR="0017516E">
        <w:rPr>
          <w:lang w:val="en-US"/>
        </w:rPr>
        <w:t>scale</w:t>
      </w:r>
      <w:r w:rsidRPr="00875992">
        <w:rPr>
          <w:lang w:val="en-US"/>
        </w:rPr>
        <w:t xml:space="preserve"> </w:t>
      </w:r>
      <w:r w:rsidR="00723B4A">
        <w:rPr>
          <w:lang w:val="en-US"/>
        </w:rPr>
        <w:t>the pre-training review,</w:t>
      </w:r>
      <w:r w:rsidRPr="00875992">
        <w:rPr>
          <w:lang w:val="en-US"/>
        </w:rPr>
        <w:t xml:space="preserve"> provided you obtain enough information to show the skill set is suitable and appropriate </w:t>
      </w:r>
      <w:r w:rsidRPr="00875992">
        <w:rPr>
          <w:lang w:val="en-US"/>
        </w:rPr>
        <w:t>for the student’s needs and they clearly understand all their other training options.</w:t>
      </w:r>
      <w:r w:rsidRPr="00875992" w:rsidDel="00A172B7">
        <w:rPr>
          <w:lang w:val="en-US"/>
        </w:rPr>
        <w:t xml:space="preserve"> </w:t>
      </w:r>
    </w:p>
    <w:p w14:paraId="7F33821C" w14:textId="058E1F6E" w:rsidR="009269E2" w:rsidRPr="007C6804" w:rsidRDefault="009269E2" w:rsidP="009269E2">
      <w:pPr>
        <w:jc w:val="both"/>
        <w:rPr>
          <w:lang w:val="en-US"/>
        </w:rPr>
      </w:pPr>
      <w:r w:rsidRPr="00875992">
        <w:t>A skill set is the best training option for a student when it is likely to lead to a job or is a pathway to a</w:t>
      </w:r>
      <w:r>
        <w:t>n AQF</w:t>
      </w:r>
      <w:r w:rsidRPr="00875992">
        <w:t xml:space="preserve"> qualification.</w:t>
      </w:r>
      <w:r>
        <w:t xml:space="preserve"> </w:t>
      </w:r>
      <w:r w:rsidRPr="0050556E">
        <w:rPr>
          <w:lang w:val="en-US"/>
        </w:rPr>
        <w:t>Y</w:t>
      </w:r>
      <w:r w:rsidRPr="007C6804">
        <w:rPr>
          <w:lang w:val="en-US"/>
        </w:rPr>
        <w:t>our process and decision must be clearly documented.</w:t>
      </w:r>
    </w:p>
    <w:p w14:paraId="1155269D" w14:textId="16D6C1B2" w:rsidR="00470A9F" w:rsidRPr="00F26F6F" w:rsidRDefault="00470A9F" w:rsidP="00F26F6F">
      <w:pPr>
        <w:pStyle w:val="Heading2"/>
        <w:jc w:val="both"/>
      </w:pPr>
      <w:r w:rsidRPr="00F26F6F">
        <w:t>Recogni</w:t>
      </w:r>
      <w:r w:rsidR="00993BC6" w:rsidRPr="00F26F6F">
        <w:t>tion of</w:t>
      </w:r>
      <w:r w:rsidRPr="00F26F6F">
        <w:t xml:space="preserve"> </w:t>
      </w:r>
      <w:r w:rsidR="00723B4A" w:rsidRPr="00F26F6F">
        <w:t>prior learning</w:t>
      </w:r>
    </w:p>
    <w:p w14:paraId="0AB712B4" w14:textId="6BA85D55" w:rsidR="00470A9F" w:rsidRPr="00A47899" w:rsidRDefault="00511842" w:rsidP="008B69CE">
      <w:pPr>
        <w:jc w:val="both"/>
        <w:rPr>
          <w:lang w:val="en-US"/>
        </w:rPr>
      </w:pPr>
      <w:r>
        <w:rPr>
          <w:lang w:val="en-US"/>
        </w:rPr>
        <w:t xml:space="preserve">You can apply </w:t>
      </w:r>
      <w:r w:rsidR="00723B4A">
        <w:rPr>
          <w:lang w:val="en-US"/>
        </w:rPr>
        <w:t>RPL to skill sets</w:t>
      </w:r>
      <w:r w:rsidR="00470A9F" w:rsidRPr="00A47899">
        <w:rPr>
          <w:lang w:val="en-US"/>
        </w:rPr>
        <w:t>.</w:t>
      </w:r>
    </w:p>
    <w:p w14:paraId="2C5549AD" w14:textId="60B936A5" w:rsidR="00470A9F" w:rsidRPr="00BD27A3" w:rsidRDefault="00470A9F" w:rsidP="00F26F6F">
      <w:pPr>
        <w:pStyle w:val="Heading2"/>
        <w:jc w:val="both"/>
      </w:pPr>
      <w:r w:rsidRPr="00BD27A3">
        <w:t xml:space="preserve">Training </w:t>
      </w:r>
      <w:r w:rsidR="00723B4A" w:rsidRPr="00BD27A3">
        <w:t>plan</w:t>
      </w:r>
      <w:r w:rsidR="00723B4A">
        <w:t>s</w:t>
      </w:r>
    </w:p>
    <w:p w14:paraId="5EF833DC" w14:textId="2C936B19" w:rsidR="00470A9F" w:rsidRPr="00BD27A3" w:rsidRDefault="00511842" w:rsidP="008B69CE">
      <w:pPr>
        <w:jc w:val="both"/>
      </w:pPr>
      <w:r>
        <w:t xml:space="preserve">You must issue </w:t>
      </w:r>
      <w:r w:rsidR="00723B4A">
        <w:t>t</w:t>
      </w:r>
      <w:r w:rsidR="00993BC6">
        <w:t xml:space="preserve">raining </w:t>
      </w:r>
      <w:r w:rsidR="00723B4A">
        <w:t>p</w:t>
      </w:r>
      <w:r w:rsidR="00993BC6">
        <w:t xml:space="preserve">lans </w:t>
      </w:r>
      <w:r>
        <w:t>to</w:t>
      </w:r>
      <w:r w:rsidR="00993BC6">
        <w:t xml:space="preserve"> </w:t>
      </w:r>
      <w:r>
        <w:t>students doing</w:t>
      </w:r>
      <w:r w:rsidR="00993BC6">
        <w:t xml:space="preserve"> skill sets,</w:t>
      </w:r>
      <w:r w:rsidR="00470A9F">
        <w:t xml:space="preserve"> </w:t>
      </w:r>
      <w:r>
        <w:t>except</w:t>
      </w:r>
      <w:r w:rsidR="00470A9F" w:rsidRPr="00BD27A3">
        <w:t xml:space="preserve"> </w:t>
      </w:r>
      <w:r>
        <w:t>where the</w:t>
      </w:r>
      <w:r w:rsidRPr="00BD27A3">
        <w:t xml:space="preserve"> </w:t>
      </w:r>
      <w:r w:rsidR="00470A9F">
        <w:t>skill set</w:t>
      </w:r>
      <w:r w:rsidR="00470A9F" w:rsidRPr="00BD27A3">
        <w:t xml:space="preserve"> </w:t>
      </w:r>
      <w:r>
        <w:t xml:space="preserve">consists </w:t>
      </w:r>
      <w:r w:rsidR="00470A9F" w:rsidRPr="00BD27A3">
        <w:t xml:space="preserve">of a </w:t>
      </w:r>
      <w:r w:rsidR="00470A9F">
        <w:t>single</w:t>
      </w:r>
      <w:r w:rsidR="00470A9F" w:rsidRPr="00BD27A3">
        <w:t xml:space="preserve"> </w:t>
      </w:r>
      <w:r w:rsidR="00470A9F">
        <w:t>subject</w:t>
      </w:r>
      <w:r w:rsidR="00470A9F" w:rsidRPr="00BD27A3">
        <w:t xml:space="preserve">. However, you must still inform the student </w:t>
      </w:r>
      <w:r w:rsidR="00470A9F">
        <w:t>about</w:t>
      </w:r>
      <w:r w:rsidR="00470A9F" w:rsidRPr="00BD27A3">
        <w:t xml:space="preserve"> the training and assessment requirements for the </w:t>
      </w:r>
      <w:r w:rsidR="00470A9F">
        <w:t>skill set</w:t>
      </w:r>
      <w:r w:rsidR="00470A9F" w:rsidRPr="00BD27A3">
        <w:t xml:space="preserve"> so they can make an informed decision about their enrolment.</w:t>
      </w:r>
    </w:p>
    <w:p w14:paraId="15C5112F" w14:textId="51A286B7" w:rsidR="002C571F" w:rsidRDefault="00C94389" w:rsidP="008B69CE">
      <w:pPr>
        <w:pStyle w:val="Heading2"/>
      </w:pPr>
      <w:r>
        <w:t>‘</w:t>
      </w:r>
      <w:r w:rsidR="00723B4A">
        <w:t>Free at TAFE</w:t>
      </w:r>
      <w:r>
        <w:t>’</w:t>
      </w:r>
      <w:r w:rsidR="00723B4A">
        <w:t xml:space="preserve"> skill sets</w:t>
      </w:r>
    </w:p>
    <w:p w14:paraId="670208BA" w14:textId="01E72821" w:rsidR="002C571F" w:rsidRPr="00656108" w:rsidRDefault="003921F8" w:rsidP="00656108">
      <w:pPr>
        <w:jc w:val="both"/>
      </w:pPr>
      <w:r w:rsidRPr="00656108">
        <w:t>The following skill sets are ‘</w:t>
      </w:r>
      <w:r w:rsidR="00723B4A">
        <w:t>f</w:t>
      </w:r>
      <w:r w:rsidRPr="00656108">
        <w:t>ree at TAFE’ in 2022:</w:t>
      </w:r>
    </w:p>
    <w:p w14:paraId="5415B6FD" w14:textId="6F21B095" w:rsidR="002C571F" w:rsidRPr="00656108" w:rsidRDefault="002C571F" w:rsidP="0065610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656108">
        <w:rPr>
          <w:lang w:val="en-US"/>
        </w:rPr>
        <w:t>Course in Gender Equity</w:t>
      </w:r>
    </w:p>
    <w:p w14:paraId="25B4DBC8" w14:textId="2D35408B" w:rsidR="002C571F" w:rsidRPr="00656108" w:rsidRDefault="002C571F" w:rsidP="002C571F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656108">
        <w:rPr>
          <w:lang w:val="en-US"/>
        </w:rPr>
        <w:t>Course in Identifying and Responding to Family Violence Risk</w:t>
      </w:r>
    </w:p>
    <w:p w14:paraId="256E001F" w14:textId="7E031B40" w:rsidR="003921F8" w:rsidRPr="00656108" w:rsidRDefault="003921F8" w:rsidP="002C571F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en-US"/>
        </w:rPr>
      </w:pPr>
      <w:r w:rsidRPr="00656108">
        <w:t>Course in Introduction to the National Disability Insurance Scheme.</w:t>
      </w:r>
    </w:p>
    <w:p w14:paraId="62060C2B" w14:textId="77777777" w:rsidR="00EC5DD2" w:rsidRDefault="0042186C" w:rsidP="00656108">
      <w:pPr>
        <w:jc w:val="both"/>
      </w:pPr>
      <w:r w:rsidRPr="00656108">
        <w:t>TAFEs must grant a fee waiver to students enrolling in any of these skill sets.</w:t>
      </w:r>
      <w:r w:rsidR="00C94389" w:rsidRPr="00656108">
        <w:t xml:space="preserve"> </w:t>
      </w:r>
    </w:p>
    <w:p w14:paraId="2E5B539C" w14:textId="4D702346" w:rsidR="003921F8" w:rsidRPr="00656108" w:rsidRDefault="0042186C" w:rsidP="00656108">
      <w:pPr>
        <w:jc w:val="both"/>
      </w:pPr>
      <w:r w:rsidRPr="00656108">
        <w:t>A student’s participation in these skill sets will not impact their ‘Free TAFE’ entitlement.</w:t>
      </w:r>
    </w:p>
    <w:p w14:paraId="2164EC26" w14:textId="29BFBE0F" w:rsidR="00C94389" w:rsidRDefault="00C94389" w:rsidP="00656108">
      <w:pPr>
        <w:jc w:val="both"/>
      </w:pPr>
      <w:r w:rsidRPr="00656108">
        <w:t>Enrolments at TAFE must be reported against Funding Source Identifier GSP, and Fee Waiver/Exemption</w:t>
      </w:r>
      <w:r w:rsidR="00034566" w:rsidRPr="00656108">
        <w:t xml:space="preserve"> Type</w:t>
      </w:r>
      <w:r w:rsidRPr="00656108">
        <w:t xml:space="preserve"> Identifier ‘Y’.</w:t>
      </w:r>
    </w:p>
    <w:p w14:paraId="4675857E" w14:textId="77777777" w:rsidR="001A4E05" w:rsidRDefault="001A4E05" w:rsidP="008B69CE">
      <w:pPr>
        <w:pStyle w:val="Heading2"/>
      </w:pPr>
    </w:p>
    <w:p w14:paraId="72EA59BB" w14:textId="696CE4DB" w:rsidR="00470A9F" w:rsidRDefault="00672427" w:rsidP="008B69CE">
      <w:pPr>
        <w:pStyle w:val="Heading2"/>
      </w:pPr>
      <w:r>
        <w:br w:type="column"/>
      </w:r>
      <w:r w:rsidR="00723B4A">
        <w:t xml:space="preserve">Skill sets under JobTrainer </w:t>
      </w:r>
    </w:p>
    <w:p w14:paraId="238160D5" w14:textId="2E807334" w:rsidR="00470A9F" w:rsidRDefault="00470A9F" w:rsidP="008B69CE">
      <w:pPr>
        <w:jc w:val="both"/>
        <w:rPr>
          <w:lang w:val="en-US"/>
        </w:rPr>
      </w:pPr>
      <w:r>
        <w:rPr>
          <w:lang w:val="en-US"/>
        </w:rPr>
        <w:t>The J</w:t>
      </w:r>
      <w:r w:rsidRPr="00D00442">
        <w:rPr>
          <w:lang w:val="en-US"/>
        </w:rPr>
        <w:t xml:space="preserve">obTrainer Fund </w:t>
      </w:r>
      <w:r w:rsidR="00993BC6">
        <w:rPr>
          <w:lang w:val="en-US"/>
        </w:rPr>
        <w:t>provides</w:t>
      </w:r>
      <w:r w:rsidRPr="00D00442">
        <w:rPr>
          <w:lang w:val="en-US"/>
        </w:rPr>
        <w:t xml:space="preserve"> </w:t>
      </w:r>
      <w:r>
        <w:rPr>
          <w:lang w:val="en-US"/>
        </w:rPr>
        <w:t xml:space="preserve">tuition </w:t>
      </w:r>
      <w:r w:rsidRPr="00D00442">
        <w:rPr>
          <w:lang w:val="en-US"/>
        </w:rPr>
        <w:t xml:space="preserve">free </w:t>
      </w:r>
      <w:r>
        <w:rPr>
          <w:lang w:val="en-US"/>
        </w:rPr>
        <w:t xml:space="preserve">skill set </w:t>
      </w:r>
      <w:r w:rsidRPr="00D00442">
        <w:rPr>
          <w:lang w:val="en-US"/>
        </w:rPr>
        <w:t xml:space="preserve">places for </w:t>
      </w:r>
      <w:r>
        <w:rPr>
          <w:lang w:val="en-US"/>
        </w:rPr>
        <w:t xml:space="preserve">eligible </w:t>
      </w:r>
      <w:r w:rsidRPr="00D00442">
        <w:rPr>
          <w:lang w:val="en-US"/>
        </w:rPr>
        <w:t>young people</w:t>
      </w:r>
      <w:r w:rsidR="00E601C3">
        <w:rPr>
          <w:lang w:val="en-US"/>
        </w:rPr>
        <w:t xml:space="preserve"> and</w:t>
      </w:r>
      <w:r w:rsidR="00993BC6">
        <w:rPr>
          <w:lang w:val="en-US"/>
        </w:rPr>
        <w:t xml:space="preserve"> </w:t>
      </w:r>
      <w:r w:rsidRPr="00D00442">
        <w:rPr>
          <w:lang w:val="en-US"/>
        </w:rPr>
        <w:t>job seeker</w:t>
      </w:r>
      <w:r>
        <w:rPr>
          <w:lang w:val="en-US"/>
        </w:rPr>
        <w:t>s</w:t>
      </w:r>
      <w:r w:rsidR="00E601C3">
        <w:rPr>
          <w:lang w:val="en-US"/>
        </w:rPr>
        <w:t>,</w:t>
      </w:r>
      <w:r w:rsidR="00993BC6">
        <w:rPr>
          <w:lang w:val="en-US"/>
        </w:rPr>
        <w:t xml:space="preserve"> and </w:t>
      </w:r>
      <w:r w:rsidR="008C1C22">
        <w:rPr>
          <w:lang w:val="en-US"/>
        </w:rPr>
        <w:t xml:space="preserve">in </w:t>
      </w:r>
      <w:r w:rsidR="00993BC6">
        <w:rPr>
          <w:lang w:val="en-US"/>
        </w:rPr>
        <w:t>priority programs</w:t>
      </w:r>
      <w:r>
        <w:rPr>
          <w:lang w:val="en-US"/>
        </w:rPr>
        <w:t xml:space="preserve">. </w:t>
      </w:r>
    </w:p>
    <w:p w14:paraId="428D7742" w14:textId="63F20C9B" w:rsidR="00511842" w:rsidRPr="002014BC" w:rsidRDefault="00470A9F" w:rsidP="008B69CE">
      <w:pPr>
        <w:jc w:val="both"/>
        <w:rPr>
          <w:lang w:val="en-US"/>
        </w:rPr>
      </w:pPr>
      <w:r w:rsidRPr="0000426F">
        <w:t xml:space="preserve">Read </w:t>
      </w:r>
      <w:r>
        <w:t xml:space="preserve">the </w:t>
      </w:r>
      <w:r w:rsidRPr="008B39F7">
        <w:t>‘</w:t>
      </w:r>
      <w:r w:rsidRPr="00192E30">
        <w:t xml:space="preserve">Understanding the </w:t>
      </w:r>
      <w:r w:rsidR="00EC5DD2">
        <w:t xml:space="preserve">2022 </w:t>
      </w:r>
      <w:r w:rsidRPr="00192E30">
        <w:t>JobTrainer arrangements’</w:t>
      </w:r>
      <w:r>
        <w:t xml:space="preserve"> fact sheet for more information about </w:t>
      </w:r>
      <w:r w:rsidR="00672427">
        <w:t xml:space="preserve">the Contract arrangements under </w:t>
      </w:r>
      <w:r w:rsidRPr="0000426F">
        <w:t>JobTrainer.</w:t>
      </w:r>
    </w:p>
    <w:p w14:paraId="71CDDC49" w14:textId="57DA7458" w:rsidR="00470A9F" w:rsidRPr="00553660" w:rsidRDefault="00672427" w:rsidP="00E601C3">
      <w:pPr>
        <w:pStyle w:val="Heading2"/>
      </w:pPr>
      <w:r>
        <w:br w:type="column"/>
      </w:r>
      <w:r w:rsidR="00EC5DD2">
        <w:t>F</w:t>
      </w:r>
      <w:r w:rsidR="00EC5DD2" w:rsidRPr="00553660">
        <w:t>urther information</w:t>
      </w:r>
    </w:p>
    <w:p w14:paraId="7C7444F0" w14:textId="77777777" w:rsidR="00EC5DD2" w:rsidRDefault="00723B4A" w:rsidP="006D1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an enquiry via </w:t>
      </w:r>
      <w:hyperlink r:id="rId15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</w:t>
      </w:r>
    </w:p>
    <w:p w14:paraId="11338AD1" w14:textId="408C29B3" w:rsidR="00C41943" w:rsidRPr="00EC5DD2" w:rsidRDefault="00852B1A" w:rsidP="006D1314">
      <w:pPr>
        <w:jc w:val="both"/>
        <w:rPr>
          <w:rFonts w:ascii="Arial" w:hAnsi="Arial" w:cs="Arial"/>
        </w:rPr>
        <w:sectPr w:rsidR="00C41943" w:rsidRPr="00EC5DD2" w:rsidSect="00723B4A">
          <w:footerReference w:type="default" r:id="rId16"/>
          <w:pgSz w:w="11900" w:h="16840"/>
          <w:pgMar w:top="2155" w:right="1134" w:bottom="1134" w:left="1134" w:header="567" w:footer="340" w:gutter="0"/>
          <w:cols w:num="2" w:space="708"/>
          <w:docGrid w:linePitch="360"/>
        </w:sectPr>
      </w:pPr>
      <w:hyperlink r:id="rId17" w:anchor="link13" w:history="1">
        <w:r w:rsidR="00470A9F" w:rsidRPr="00723B4A">
          <w:rPr>
            <w:rStyle w:val="Hyperlink"/>
          </w:rPr>
          <w:t xml:space="preserve">Fact sheet: Understanding the </w:t>
        </w:r>
        <w:r w:rsidR="00723B4A">
          <w:rPr>
            <w:rStyle w:val="Hyperlink"/>
          </w:rPr>
          <w:t xml:space="preserve">2022 </w:t>
        </w:r>
        <w:r w:rsidR="00470A9F" w:rsidRPr="00723B4A">
          <w:rPr>
            <w:rStyle w:val="Hyperlink"/>
          </w:rPr>
          <w:t>JobTrainer arrangements</w:t>
        </w:r>
      </w:hyperlink>
    </w:p>
    <w:p w14:paraId="3950F060" w14:textId="049EE5EF" w:rsidR="00122369" w:rsidRDefault="00122369" w:rsidP="00EC5DD2">
      <w:pPr>
        <w:pStyle w:val="Copyrighttext"/>
        <w:rPr>
          <w:rFonts w:cstheme="minorHAnsi"/>
        </w:rPr>
      </w:pPr>
    </w:p>
    <w:p w14:paraId="5EE7A8B6" w14:textId="7840325E" w:rsidR="001A4E05" w:rsidRDefault="001A4E05" w:rsidP="00EC5DD2">
      <w:pPr>
        <w:pStyle w:val="Copyrighttext"/>
        <w:rPr>
          <w:rFonts w:cstheme="minorHAnsi"/>
        </w:rPr>
      </w:pPr>
    </w:p>
    <w:p w14:paraId="51D941B3" w14:textId="16BA4C1E" w:rsidR="001A4E05" w:rsidRDefault="001A4E05" w:rsidP="00EC5DD2">
      <w:pPr>
        <w:pStyle w:val="Copyrighttext"/>
        <w:rPr>
          <w:rFonts w:cstheme="minorHAnsi"/>
        </w:rPr>
      </w:pPr>
    </w:p>
    <w:p w14:paraId="6449B4CF" w14:textId="77777777" w:rsidR="001A4E05" w:rsidRDefault="001A4E05" w:rsidP="001A4E05">
      <w:pPr>
        <w:pStyle w:val="Copyrighttext"/>
        <w:spacing w:after="120"/>
      </w:pPr>
    </w:p>
    <w:p w14:paraId="70C0C977" w14:textId="77777777" w:rsidR="001A4E05" w:rsidRDefault="001A4E05" w:rsidP="001A4E05">
      <w:pPr>
        <w:pStyle w:val="Copyrighttext"/>
        <w:spacing w:after="120"/>
      </w:pPr>
    </w:p>
    <w:p w14:paraId="5B7268EA" w14:textId="77777777" w:rsidR="001A4E05" w:rsidRDefault="001A4E05" w:rsidP="001A4E05">
      <w:pPr>
        <w:pStyle w:val="Copyrighttext"/>
        <w:spacing w:after="120"/>
      </w:pPr>
    </w:p>
    <w:p w14:paraId="76FDBD32" w14:textId="77777777" w:rsidR="001A4E05" w:rsidRDefault="001A4E05" w:rsidP="001A4E05">
      <w:pPr>
        <w:pStyle w:val="Copyrighttext"/>
        <w:spacing w:after="120"/>
      </w:pPr>
    </w:p>
    <w:p w14:paraId="3F11C958" w14:textId="77777777" w:rsidR="001A4E05" w:rsidRDefault="001A4E05" w:rsidP="001A4E05">
      <w:pPr>
        <w:pStyle w:val="Copyrighttext"/>
        <w:spacing w:after="120"/>
      </w:pPr>
    </w:p>
    <w:p w14:paraId="6DF6F102" w14:textId="77777777" w:rsidR="001A4E05" w:rsidRDefault="001A4E05" w:rsidP="001A4E05">
      <w:pPr>
        <w:pStyle w:val="Copyrighttext"/>
        <w:spacing w:after="120"/>
      </w:pPr>
    </w:p>
    <w:p w14:paraId="5AD0373A" w14:textId="77777777" w:rsidR="001A4E05" w:rsidRDefault="001A4E05" w:rsidP="001A4E05">
      <w:pPr>
        <w:pStyle w:val="Copyrighttext"/>
        <w:spacing w:after="120"/>
      </w:pPr>
    </w:p>
    <w:p w14:paraId="37E7BB87" w14:textId="77777777" w:rsidR="001A4E05" w:rsidRDefault="001A4E05" w:rsidP="001A4E05">
      <w:pPr>
        <w:pStyle w:val="Copyrighttext"/>
        <w:spacing w:after="120"/>
      </w:pPr>
    </w:p>
    <w:p w14:paraId="5C0C8AAE" w14:textId="77777777" w:rsidR="001A4E05" w:rsidRDefault="001A4E05" w:rsidP="001A4E05">
      <w:pPr>
        <w:pStyle w:val="Copyrighttext"/>
        <w:spacing w:after="120"/>
      </w:pPr>
    </w:p>
    <w:p w14:paraId="3D93F1F7" w14:textId="77777777" w:rsidR="001A4E05" w:rsidRDefault="001A4E05" w:rsidP="001A4E05">
      <w:pPr>
        <w:pStyle w:val="Copyrighttext"/>
        <w:spacing w:after="120"/>
      </w:pPr>
    </w:p>
    <w:p w14:paraId="4120D75F" w14:textId="77777777" w:rsidR="001A4E05" w:rsidRDefault="001A4E05" w:rsidP="001A4E05">
      <w:pPr>
        <w:pStyle w:val="Copyrighttext"/>
        <w:spacing w:after="120"/>
      </w:pPr>
    </w:p>
    <w:p w14:paraId="427729DA" w14:textId="77777777" w:rsidR="001A4E05" w:rsidRDefault="001A4E05" w:rsidP="001A4E05">
      <w:pPr>
        <w:pStyle w:val="Copyrighttext"/>
        <w:spacing w:after="120"/>
      </w:pPr>
    </w:p>
    <w:p w14:paraId="7C466BA5" w14:textId="77777777" w:rsidR="001A4E05" w:rsidRDefault="001A4E05" w:rsidP="001A4E05">
      <w:pPr>
        <w:pStyle w:val="Copyrighttext"/>
        <w:spacing w:after="120"/>
      </w:pPr>
    </w:p>
    <w:p w14:paraId="762D77E0" w14:textId="77777777" w:rsidR="001A4E05" w:rsidRDefault="001A4E05" w:rsidP="001A4E05">
      <w:pPr>
        <w:pStyle w:val="Copyrighttext"/>
        <w:spacing w:after="120"/>
      </w:pPr>
    </w:p>
    <w:p w14:paraId="0788C272" w14:textId="77777777" w:rsidR="001A4E05" w:rsidRDefault="001A4E05" w:rsidP="001A4E05">
      <w:pPr>
        <w:pStyle w:val="Copyrighttext"/>
        <w:spacing w:after="120"/>
      </w:pPr>
    </w:p>
    <w:p w14:paraId="008D1388" w14:textId="77777777" w:rsidR="001A4E05" w:rsidRDefault="001A4E05" w:rsidP="001A4E05">
      <w:pPr>
        <w:pStyle w:val="Copyrighttext"/>
        <w:spacing w:after="120"/>
      </w:pPr>
    </w:p>
    <w:p w14:paraId="1F2FDEB8" w14:textId="77777777" w:rsidR="001A4E05" w:rsidRDefault="001A4E05" w:rsidP="001A4E05">
      <w:pPr>
        <w:pStyle w:val="Copyrighttext"/>
        <w:spacing w:after="120"/>
      </w:pPr>
    </w:p>
    <w:p w14:paraId="6D512124" w14:textId="77777777" w:rsidR="001A4E05" w:rsidRDefault="001A4E05" w:rsidP="001A4E05">
      <w:pPr>
        <w:pStyle w:val="Copyrighttext"/>
        <w:spacing w:after="120"/>
      </w:pPr>
    </w:p>
    <w:p w14:paraId="04167E71" w14:textId="77777777" w:rsidR="001A4E05" w:rsidRDefault="001A4E05" w:rsidP="001A4E05">
      <w:pPr>
        <w:pStyle w:val="Copyrighttext"/>
        <w:spacing w:after="120"/>
      </w:pPr>
    </w:p>
    <w:p w14:paraId="2F1E2384" w14:textId="77777777" w:rsidR="001A4E05" w:rsidRDefault="001A4E05" w:rsidP="001A4E05">
      <w:pPr>
        <w:pStyle w:val="Copyrighttext"/>
        <w:spacing w:after="120"/>
      </w:pPr>
    </w:p>
    <w:p w14:paraId="27B74914" w14:textId="77777777" w:rsidR="001A4E05" w:rsidRDefault="001A4E05" w:rsidP="001A4E05">
      <w:pPr>
        <w:pStyle w:val="Copyrighttext"/>
        <w:spacing w:after="120"/>
      </w:pPr>
    </w:p>
    <w:p w14:paraId="3CE7F0BF" w14:textId="77777777" w:rsidR="001A4E05" w:rsidRDefault="001A4E05" w:rsidP="001A4E05">
      <w:pPr>
        <w:pStyle w:val="Copyrighttext"/>
        <w:spacing w:after="120"/>
      </w:pPr>
    </w:p>
    <w:p w14:paraId="3D068329" w14:textId="77777777" w:rsidR="001A4E05" w:rsidRDefault="001A4E05" w:rsidP="001A4E05">
      <w:pPr>
        <w:pStyle w:val="Copyrighttext"/>
        <w:spacing w:after="120"/>
      </w:pPr>
    </w:p>
    <w:p w14:paraId="37386EBF" w14:textId="77777777" w:rsidR="001A4E05" w:rsidRDefault="001A4E05" w:rsidP="001A4E05">
      <w:pPr>
        <w:pStyle w:val="Copyrighttext"/>
        <w:spacing w:after="120"/>
      </w:pPr>
    </w:p>
    <w:p w14:paraId="382ACF89" w14:textId="77777777" w:rsidR="001A4E05" w:rsidRDefault="001A4E05" w:rsidP="001A4E05">
      <w:pPr>
        <w:pStyle w:val="Copyrighttext"/>
        <w:spacing w:after="120"/>
      </w:pPr>
    </w:p>
    <w:p w14:paraId="0F22C178" w14:textId="77777777" w:rsidR="001A4E05" w:rsidRDefault="001A4E05" w:rsidP="001A4E05">
      <w:pPr>
        <w:pStyle w:val="Copyrighttext"/>
        <w:spacing w:after="120"/>
      </w:pPr>
    </w:p>
    <w:p w14:paraId="0E431136" w14:textId="77777777" w:rsidR="001A4E05" w:rsidRDefault="001A4E05" w:rsidP="001A4E05">
      <w:pPr>
        <w:pStyle w:val="Copyrighttext"/>
        <w:spacing w:after="120"/>
      </w:pPr>
    </w:p>
    <w:p w14:paraId="6FFD9F78" w14:textId="77777777" w:rsidR="001A4E05" w:rsidRDefault="001A4E05" w:rsidP="001A4E05">
      <w:pPr>
        <w:pStyle w:val="Copyrighttext"/>
        <w:spacing w:after="120"/>
      </w:pPr>
    </w:p>
    <w:p w14:paraId="5C1C6AE4" w14:textId="77777777" w:rsidR="001A4E05" w:rsidRDefault="001A4E05" w:rsidP="001A4E05">
      <w:pPr>
        <w:pStyle w:val="Copyrighttext"/>
        <w:spacing w:after="120"/>
      </w:pPr>
    </w:p>
    <w:p w14:paraId="58921DB9" w14:textId="77777777" w:rsidR="001A4E05" w:rsidRDefault="001A4E05" w:rsidP="001A4E05">
      <w:pPr>
        <w:pStyle w:val="Copyrighttext"/>
        <w:spacing w:after="120"/>
      </w:pPr>
    </w:p>
    <w:p w14:paraId="0D4C7830" w14:textId="77777777" w:rsidR="001A4E05" w:rsidRDefault="001A4E05" w:rsidP="001A4E05">
      <w:pPr>
        <w:pStyle w:val="Copyrighttext"/>
        <w:spacing w:after="120"/>
      </w:pPr>
    </w:p>
    <w:p w14:paraId="53D563D1" w14:textId="77777777" w:rsidR="001A4E05" w:rsidRDefault="001A4E05" w:rsidP="001A4E05">
      <w:pPr>
        <w:pStyle w:val="Copyrighttext"/>
        <w:spacing w:after="120"/>
      </w:pPr>
    </w:p>
    <w:p w14:paraId="4205CD34" w14:textId="77777777" w:rsidR="001A4E05" w:rsidRDefault="001A4E05" w:rsidP="001A4E05">
      <w:pPr>
        <w:pStyle w:val="Copyrighttext"/>
        <w:spacing w:after="120"/>
      </w:pPr>
    </w:p>
    <w:p w14:paraId="137465C8" w14:textId="77777777" w:rsidR="001A4E05" w:rsidRDefault="001A4E05" w:rsidP="001A4E05">
      <w:pPr>
        <w:pStyle w:val="Copyrighttext"/>
        <w:spacing w:after="120"/>
      </w:pPr>
    </w:p>
    <w:p w14:paraId="60B81FE2" w14:textId="77777777" w:rsidR="001A4E05" w:rsidRDefault="001A4E05" w:rsidP="001A4E05">
      <w:pPr>
        <w:pStyle w:val="Copyrighttext"/>
        <w:spacing w:after="120"/>
      </w:pPr>
    </w:p>
    <w:p w14:paraId="6B50BB03" w14:textId="77777777" w:rsidR="001A4E05" w:rsidRDefault="001A4E05" w:rsidP="001A4E05">
      <w:pPr>
        <w:pStyle w:val="Copyrighttext"/>
        <w:spacing w:after="120"/>
      </w:pPr>
    </w:p>
    <w:p w14:paraId="4E87741D" w14:textId="77777777" w:rsidR="001A4E05" w:rsidRDefault="001A4E05" w:rsidP="001A4E05">
      <w:pPr>
        <w:pStyle w:val="Copyrighttext"/>
        <w:spacing w:after="120"/>
      </w:pPr>
    </w:p>
    <w:p w14:paraId="7E718304" w14:textId="0E894732" w:rsidR="001A4E05" w:rsidRPr="00EC5DD2" w:rsidRDefault="001A4E05" w:rsidP="001A4E05">
      <w:pPr>
        <w:pStyle w:val="Copyrighttext"/>
        <w:spacing w:after="120"/>
        <w:rPr>
          <w:rFonts w:cstheme="minorHAnsi"/>
        </w:rPr>
      </w:pPr>
      <w:r w:rsidRPr="00EC5DD2">
        <w:t xml:space="preserve">© State of Victoria (Department of Education and Training) 2021. </w:t>
      </w:r>
      <w:r w:rsidRPr="00EC5DD2">
        <w:rPr>
          <w:rFonts w:cstheme="minorHAnsi"/>
        </w:rPr>
        <w:t>Except where otherwise </w:t>
      </w:r>
      <w:hyperlink r:id="rId18" w:history="1">
        <w:r w:rsidRPr="00EC5DD2">
          <w:rPr>
            <w:rStyle w:val="Hyperlink"/>
            <w:rFonts w:cstheme="minorHAnsi"/>
            <w:color w:val="auto"/>
          </w:rPr>
          <w:t>noted,</w:t>
        </w:r>
      </w:hyperlink>
      <w:r w:rsidRPr="00EC5DD2">
        <w:rPr>
          <w:rFonts w:cstheme="minorHAnsi"/>
        </w:rPr>
        <w:t xml:space="preserve"> material in this document is provided under a </w:t>
      </w:r>
      <w:hyperlink r:id="rId19" w:history="1">
        <w:r w:rsidRPr="00EC5DD2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Pr="00EC5DD2">
        <w:rPr>
          <w:rFonts w:cstheme="minorHAnsi"/>
        </w:rPr>
        <w:t xml:space="preserve"> Please check the full </w:t>
      </w:r>
      <w:hyperlink r:id="rId20" w:history="1">
        <w:r w:rsidRPr="00EC5DD2">
          <w:rPr>
            <w:rStyle w:val="Hyperlink"/>
            <w:rFonts w:cstheme="minorHAnsi"/>
            <w:color w:val="auto"/>
          </w:rPr>
          <w:t>copyright notice </w:t>
        </w:r>
      </w:hyperlink>
    </w:p>
    <w:p w14:paraId="0406D772" w14:textId="77777777" w:rsidR="001A4E05" w:rsidRPr="00E601C3" w:rsidRDefault="001A4E05" w:rsidP="00EC5DD2">
      <w:pPr>
        <w:pStyle w:val="Copyrighttext"/>
        <w:rPr>
          <w:rFonts w:cstheme="minorHAnsi"/>
        </w:rPr>
      </w:pPr>
    </w:p>
    <w:sectPr w:rsidR="001A4E05" w:rsidRPr="00E601C3" w:rsidSect="00C41943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CC55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2733A0A0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2DF59CCF" w14:textId="77777777" w:rsidR="007E6A09" w:rsidRDefault="007E6A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4D5D54A8" w14:textId="77777777" w:rsidR="004A6194" w:rsidRPr="00075D22" w:rsidRDefault="004A6194" w:rsidP="004A6194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1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075D2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CD3DEB7" w14:textId="5F99D362" w:rsidR="00A31926" w:rsidRPr="004A6194" w:rsidRDefault="004A6194" w:rsidP="004A6194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EC5DD2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D02285" w:rsidRPr="00EC5DD2">
          <w:rPr>
            <w:rFonts w:ascii="Arial" w:eastAsia="Arial" w:hAnsi="Arial" w:cs="Times New Roman"/>
            <w:bCs/>
            <w:sz w:val="20"/>
            <w:szCs w:val="20"/>
          </w:rPr>
          <w:t>14</w:t>
        </w:r>
        <w:r w:rsidR="00D02285" w:rsidRPr="00EC5DD2">
          <w:rPr>
            <w:rFonts w:ascii="Arial" w:eastAsia="Arial" w:hAnsi="Arial" w:cs="Times New Roman"/>
            <w:bCs/>
            <w:sz w:val="20"/>
            <w:szCs w:val="20"/>
          </w:rPr>
          <w:t xml:space="preserve"> </w:t>
        </w:r>
        <w:r w:rsidR="00D345B6" w:rsidRPr="00EC5DD2">
          <w:rPr>
            <w:rFonts w:ascii="Arial" w:eastAsia="Arial" w:hAnsi="Arial" w:cs="Times New Roman"/>
            <w:bCs/>
            <w:sz w:val="20"/>
            <w:szCs w:val="20"/>
          </w:rPr>
          <w:t>December 2021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 xml:space="preserve"> (version </w:t>
        </w:r>
        <w:r w:rsidR="00471ED4">
          <w:rPr>
            <w:rFonts w:ascii="Arial" w:eastAsia="Arial" w:hAnsi="Arial" w:cs="Times New Roman"/>
            <w:bCs/>
            <w:sz w:val="20"/>
            <w:szCs w:val="20"/>
          </w:rPr>
          <w:t>2.0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t xml:space="preserve">)    </w:t>
        </w:r>
        <w:r w:rsidRPr="00075D22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97611118"/>
      <w:docPartObj>
        <w:docPartGallery w:val="Page Numbers (Top of Page)"/>
        <w:docPartUnique/>
      </w:docPartObj>
    </w:sdtPr>
    <w:sdtEndPr/>
    <w:sdtContent>
      <w:p w14:paraId="5B32CF13" w14:textId="77777777" w:rsidR="001A4E05" w:rsidRPr="00075D22" w:rsidRDefault="001A4E05" w:rsidP="001A4E05">
        <w:pPr>
          <w:tabs>
            <w:tab w:val="center" w:pos="4513"/>
            <w:tab w:val="right" w:pos="9026"/>
          </w:tabs>
          <w:jc w:val="right"/>
          <w:rPr>
            <w:rFonts w:ascii="Arial" w:eastAsia="Arial" w:hAnsi="Arial" w:cs="Times New Roman"/>
            <w:sz w:val="20"/>
            <w:szCs w:val="20"/>
          </w:rPr>
        </w:pPr>
        <w:r w:rsidRPr="00075D22">
          <w:rPr>
            <w:rFonts w:ascii="Arial" w:eastAsia="Arial" w:hAnsi="Arial" w:cs="Times New Roman"/>
            <w:sz w:val="20"/>
            <w:szCs w:val="20"/>
          </w:rPr>
          <w:t xml:space="preserve">Page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PAGE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2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  <w:r w:rsidRPr="00075D22">
          <w:rPr>
            <w:rFonts w:ascii="Arial" w:eastAsia="Arial" w:hAnsi="Arial" w:cs="Times New Roman"/>
            <w:sz w:val="20"/>
            <w:szCs w:val="20"/>
          </w:rPr>
          <w:t xml:space="preserve"> of 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begin"/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instrText xml:space="preserve"> NUMPAGES  </w:instrTex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separate"/>
        </w:r>
        <w:r>
          <w:rPr>
            <w:rFonts w:ascii="Arial" w:eastAsia="Arial" w:hAnsi="Arial" w:cs="Times New Roman"/>
            <w:bCs/>
            <w:sz w:val="20"/>
            <w:szCs w:val="20"/>
          </w:rPr>
          <w:t>3</w:t>
        </w:r>
        <w:r w:rsidRPr="00075D22">
          <w:rPr>
            <w:rFonts w:ascii="Arial" w:eastAsia="Arial" w:hAnsi="Arial" w:cs="Times New Roman"/>
            <w:bCs/>
            <w:sz w:val="20"/>
            <w:szCs w:val="20"/>
          </w:rPr>
          <w:fldChar w:fldCharType="end"/>
        </w:r>
      </w:p>
      <w:p w14:paraId="0669CAA0" w14:textId="473EEC09" w:rsidR="00E7208C" w:rsidRPr="001A4E05" w:rsidRDefault="00723B4A" w:rsidP="004A6194">
        <w:pPr>
          <w:tabs>
            <w:tab w:val="center" w:pos="4513"/>
            <w:tab w:val="right" w:pos="9026"/>
          </w:tabs>
          <w:rPr>
            <w:rFonts w:ascii="Arial" w:eastAsia="Arial" w:hAnsi="Arial" w:cs="Times New Roman"/>
            <w:sz w:val="20"/>
            <w:szCs w:val="20"/>
          </w:rPr>
        </w:pPr>
        <w:r w:rsidRPr="001A4E05">
          <w:rPr>
            <w:rFonts w:ascii="Arial" w:eastAsia="Arial" w:hAnsi="Arial" w:cs="Times New Roman"/>
            <w:bCs/>
            <w:sz w:val="20"/>
            <w:szCs w:val="20"/>
          </w:rPr>
          <w:t xml:space="preserve">Published </w:t>
        </w:r>
        <w:r w:rsidR="00EC5DD2" w:rsidRPr="001A4E05">
          <w:rPr>
            <w:rFonts w:ascii="Arial" w:eastAsia="Arial" w:hAnsi="Arial" w:cs="Times New Roman"/>
            <w:bCs/>
            <w:sz w:val="20"/>
            <w:szCs w:val="20"/>
          </w:rPr>
          <w:t>14</w:t>
        </w:r>
        <w:r w:rsidRPr="001A4E05">
          <w:rPr>
            <w:rFonts w:ascii="Arial" w:eastAsia="Arial" w:hAnsi="Arial" w:cs="Times New Roman"/>
            <w:bCs/>
            <w:sz w:val="20"/>
            <w:szCs w:val="20"/>
          </w:rPr>
          <w:t xml:space="preserve"> December 2021 (version 2.0)    </w:t>
        </w:r>
        <w:r w:rsidRPr="001A4E05">
          <w:rPr>
            <w:rFonts w:ascii="Arial" w:eastAsia="Arial" w:hAnsi="Arial" w:cs="Times New Roman"/>
            <w:i/>
            <w:sz w:val="20"/>
            <w:szCs w:val="20"/>
          </w:rPr>
          <w:t>This document is a guide only and subject to change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B05D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436296FC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1AEF96C5" w14:textId="77777777" w:rsidR="007E6A09" w:rsidRDefault="007E6A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80969"/>
    <w:multiLevelType w:val="hybridMultilevel"/>
    <w:tmpl w:val="6F56A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0444A0"/>
    <w:multiLevelType w:val="hybridMultilevel"/>
    <w:tmpl w:val="BF34C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9E70D3"/>
    <w:multiLevelType w:val="hybridMultilevel"/>
    <w:tmpl w:val="43F47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2E1"/>
    <w:multiLevelType w:val="hybridMultilevel"/>
    <w:tmpl w:val="5A807912"/>
    <w:lvl w:ilvl="0" w:tplc="2A8EE9EE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B7288"/>
    <w:multiLevelType w:val="hybridMultilevel"/>
    <w:tmpl w:val="201C3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324"/>
    <w:multiLevelType w:val="hybridMultilevel"/>
    <w:tmpl w:val="E24037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815FC"/>
    <w:multiLevelType w:val="hybridMultilevel"/>
    <w:tmpl w:val="119A7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0698A"/>
    <w:multiLevelType w:val="hybridMultilevel"/>
    <w:tmpl w:val="5DB2C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A68A4"/>
    <w:multiLevelType w:val="hybridMultilevel"/>
    <w:tmpl w:val="6FB02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30F24"/>
    <w:multiLevelType w:val="hybridMultilevel"/>
    <w:tmpl w:val="FEE8D76E"/>
    <w:lvl w:ilvl="0" w:tplc="2A8EE9EE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26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15"/>
  </w:num>
  <w:num w:numId="21">
    <w:abstractNumId w:val="13"/>
  </w:num>
  <w:num w:numId="22">
    <w:abstractNumId w:val="19"/>
  </w:num>
  <w:num w:numId="23">
    <w:abstractNumId w:val="23"/>
  </w:num>
  <w:num w:numId="24">
    <w:abstractNumId w:val="12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E5D"/>
    <w:rsid w:val="00003178"/>
    <w:rsid w:val="00011F31"/>
    <w:rsid w:val="00013339"/>
    <w:rsid w:val="000256E2"/>
    <w:rsid w:val="00034566"/>
    <w:rsid w:val="00080DA9"/>
    <w:rsid w:val="000861DD"/>
    <w:rsid w:val="000A3DA7"/>
    <w:rsid w:val="000A47D4"/>
    <w:rsid w:val="000A5E39"/>
    <w:rsid w:val="000C5537"/>
    <w:rsid w:val="000C600E"/>
    <w:rsid w:val="000D7F9A"/>
    <w:rsid w:val="000E26B1"/>
    <w:rsid w:val="00122369"/>
    <w:rsid w:val="00150E0F"/>
    <w:rsid w:val="00154EF5"/>
    <w:rsid w:val="00157212"/>
    <w:rsid w:val="0016287D"/>
    <w:rsid w:val="0017516E"/>
    <w:rsid w:val="00180716"/>
    <w:rsid w:val="001A4E05"/>
    <w:rsid w:val="001D0D94"/>
    <w:rsid w:val="001D13F9"/>
    <w:rsid w:val="001E6BDE"/>
    <w:rsid w:val="001F39DD"/>
    <w:rsid w:val="002019AB"/>
    <w:rsid w:val="00232ADB"/>
    <w:rsid w:val="002512BE"/>
    <w:rsid w:val="002546FD"/>
    <w:rsid w:val="002614A8"/>
    <w:rsid w:val="00274A0B"/>
    <w:rsid w:val="00275FB8"/>
    <w:rsid w:val="002A4A96"/>
    <w:rsid w:val="002C571F"/>
    <w:rsid w:val="002D378B"/>
    <w:rsid w:val="002E3BED"/>
    <w:rsid w:val="002F6115"/>
    <w:rsid w:val="00312720"/>
    <w:rsid w:val="003218C1"/>
    <w:rsid w:val="00343AFC"/>
    <w:rsid w:val="0034745C"/>
    <w:rsid w:val="00360CBF"/>
    <w:rsid w:val="003921F8"/>
    <w:rsid w:val="003967DD"/>
    <w:rsid w:val="003A4C39"/>
    <w:rsid w:val="003B70E4"/>
    <w:rsid w:val="003C51B6"/>
    <w:rsid w:val="003E1C4A"/>
    <w:rsid w:val="00407EF2"/>
    <w:rsid w:val="0042186C"/>
    <w:rsid w:val="0042333B"/>
    <w:rsid w:val="00443E58"/>
    <w:rsid w:val="00470A9F"/>
    <w:rsid w:val="00471ED4"/>
    <w:rsid w:val="004855FE"/>
    <w:rsid w:val="004A2E74"/>
    <w:rsid w:val="004A6194"/>
    <w:rsid w:val="004B2ED6"/>
    <w:rsid w:val="004D4388"/>
    <w:rsid w:val="004F61C8"/>
    <w:rsid w:val="00500ADA"/>
    <w:rsid w:val="00511842"/>
    <w:rsid w:val="00512BBA"/>
    <w:rsid w:val="0052190C"/>
    <w:rsid w:val="00544BF5"/>
    <w:rsid w:val="00555277"/>
    <w:rsid w:val="00567CF0"/>
    <w:rsid w:val="00584366"/>
    <w:rsid w:val="005A4F12"/>
    <w:rsid w:val="005E0283"/>
    <w:rsid w:val="005E0713"/>
    <w:rsid w:val="006137A9"/>
    <w:rsid w:val="00624A55"/>
    <w:rsid w:val="006434E6"/>
    <w:rsid w:val="006523D7"/>
    <w:rsid w:val="00656108"/>
    <w:rsid w:val="006577DF"/>
    <w:rsid w:val="006671CE"/>
    <w:rsid w:val="00672427"/>
    <w:rsid w:val="00677534"/>
    <w:rsid w:val="006A1F8A"/>
    <w:rsid w:val="006A25AC"/>
    <w:rsid w:val="006C45C0"/>
    <w:rsid w:val="006D1314"/>
    <w:rsid w:val="006D4747"/>
    <w:rsid w:val="006E2B9A"/>
    <w:rsid w:val="006E62F6"/>
    <w:rsid w:val="006F3BFE"/>
    <w:rsid w:val="00710CED"/>
    <w:rsid w:val="007227DA"/>
    <w:rsid w:val="00723B4A"/>
    <w:rsid w:val="007249BC"/>
    <w:rsid w:val="00735566"/>
    <w:rsid w:val="00742963"/>
    <w:rsid w:val="007556A6"/>
    <w:rsid w:val="00767573"/>
    <w:rsid w:val="0079411D"/>
    <w:rsid w:val="007A2474"/>
    <w:rsid w:val="007B556E"/>
    <w:rsid w:val="007D2CDF"/>
    <w:rsid w:val="007D3E38"/>
    <w:rsid w:val="007D4090"/>
    <w:rsid w:val="007E6A09"/>
    <w:rsid w:val="008065DA"/>
    <w:rsid w:val="008530F9"/>
    <w:rsid w:val="00864EAC"/>
    <w:rsid w:val="00890680"/>
    <w:rsid w:val="00892E24"/>
    <w:rsid w:val="008B1737"/>
    <w:rsid w:val="008B69CE"/>
    <w:rsid w:val="008C1C22"/>
    <w:rsid w:val="008F3D35"/>
    <w:rsid w:val="009269E2"/>
    <w:rsid w:val="00952690"/>
    <w:rsid w:val="00954B9A"/>
    <w:rsid w:val="0096312C"/>
    <w:rsid w:val="0097038A"/>
    <w:rsid w:val="00984E75"/>
    <w:rsid w:val="0099358C"/>
    <w:rsid w:val="00993BC6"/>
    <w:rsid w:val="009D3EAB"/>
    <w:rsid w:val="009F6A77"/>
    <w:rsid w:val="00A31926"/>
    <w:rsid w:val="00A710DF"/>
    <w:rsid w:val="00A72B99"/>
    <w:rsid w:val="00A94D33"/>
    <w:rsid w:val="00B14EB1"/>
    <w:rsid w:val="00B21562"/>
    <w:rsid w:val="00B5343D"/>
    <w:rsid w:val="00BB1870"/>
    <w:rsid w:val="00C33854"/>
    <w:rsid w:val="00C41943"/>
    <w:rsid w:val="00C538AD"/>
    <w:rsid w:val="00C539BB"/>
    <w:rsid w:val="00C62862"/>
    <w:rsid w:val="00C736FB"/>
    <w:rsid w:val="00C92EC6"/>
    <w:rsid w:val="00C94389"/>
    <w:rsid w:val="00CC5AA8"/>
    <w:rsid w:val="00CC7207"/>
    <w:rsid w:val="00CD5993"/>
    <w:rsid w:val="00CE52BD"/>
    <w:rsid w:val="00CE7916"/>
    <w:rsid w:val="00D01BD7"/>
    <w:rsid w:val="00D02285"/>
    <w:rsid w:val="00D23684"/>
    <w:rsid w:val="00D26DF4"/>
    <w:rsid w:val="00D345B6"/>
    <w:rsid w:val="00D85316"/>
    <w:rsid w:val="00D9777A"/>
    <w:rsid w:val="00DC3FD4"/>
    <w:rsid w:val="00DC4D0D"/>
    <w:rsid w:val="00DE4D86"/>
    <w:rsid w:val="00E17BF8"/>
    <w:rsid w:val="00E34263"/>
    <w:rsid w:val="00E34721"/>
    <w:rsid w:val="00E4317E"/>
    <w:rsid w:val="00E43269"/>
    <w:rsid w:val="00E5030B"/>
    <w:rsid w:val="00E56A13"/>
    <w:rsid w:val="00E601C3"/>
    <w:rsid w:val="00E6100B"/>
    <w:rsid w:val="00E633E8"/>
    <w:rsid w:val="00E64758"/>
    <w:rsid w:val="00E7208C"/>
    <w:rsid w:val="00E77EB9"/>
    <w:rsid w:val="00EC557D"/>
    <w:rsid w:val="00EC5DD2"/>
    <w:rsid w:val="00F0610A"/>
    <w:rsid w:val="00F26F6F"/>
    <w:rsid w:val="00F5271F"/>
    <w:rsid w:val="00F94715"/>
    <w:rsid w:val="00FB27DB"/>
    <w:rsid w:val="00FD7B1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List Paragraph Number,FooterText,リスト段落"/>
    <w:basedOn w:val="Normal"/>
    <w:link w:val="ListParagraphChar"/>
    <w:uiPriority w:val="34"/>
    <w:qFormat/>
    <w:rsid w:val="00470A9F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0A9F"/>
    <w:rPr>
      <w:sz w:val="16"/>
      <w:szCs w:val="16"/>
    </w:r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link w:val="ListParagraph"/>
    <w:uiPriority w:val="34"/>
    <w:qFormat/>
    <w:locked/>
    <w:rsid w:val="00470A9F"/>
    <w:rPr>
      <w:sz w:val="22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0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training/providers/funding/Pages/serviceagree.aspx" TargetMode="External"/><Relationship Id="rId20" Type="http://schemas.openxmlformats.org/officeDocument/2006/relationships/hyperlink" Target="https://www.education.vic.gov.au/Pages/copyright.aspx" TargetMode="Externa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vt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6e2460a2-3e09-40bc-a665-6e5b313d5e1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9F23CC-8630-4926-9FA3-1F0811927D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415BA-E655-471A-9ADD-26E41F78A60B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sets - understanding skill sets</dc:title>
  <dc:subject/>
  <dc:creator>Isabel Lim</dc:creator>
  <cp:keywords/>
  <dc:description/>
  <cp:lastModifiedBy>Justin Stokes</cp:lastModifiedBy>
  <cp:revision>32</cp:revision>
  <cp:lastPrinted>2021-12-13T21:56:00Z</cp:lastPrinted>
  <dcterms:created xsi:type="dcterms:W3CDTF">2021-08-19T02:21:00Z</dcterms:created>
  <dcterms:modified xsi:type="dcterms:W3CDTF">2021-12-13T21:57:00Z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{838bd1c1-1416-41af-a207-02b8cd03b7e9}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R20211898743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2021-09-28T08:33:26.1285775+10:00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a319977fc8504e09982f090ae1d7c602">
    <vt:lpwstr>Page|eb523acf-a821-456c-a76b-7607578309d7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ofbb8b9a280a423a91cf717fb81349cd">
    <vt:lpwstr>Education|5232e41c-5101-41fe-b638-7d41d1371531</vt:lpwstr>
  </property>
</Properties>
</file>