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2B16" w14:textId="77777777" w:rsidR="0028210F" w:rsidRDefault="0028210F" w:rsidP="0028210F">
      <w:pPr>
        <w:jc w:val="center"/>
        <w:rPr>
          <w:rFonts w:cs="Arial"/>
          <w:b/>
          <w:sz w:val="36"/>
          <w:szCs w:val="36"/>
        </w:rPr>
      </w:pPr>
      <w:r w:rsidRPr="00C252A9">
        <w:rPr>
          <w:rFonts w:cs="Arial"/>
          <w:b/>
          <w:sz w:val="36"/>
          <w:szCs w:val="36"/>
        </w:rPr>
        <w:t>22597VIC</w:t>
      </w:r>
      <w:r w:rsidRPr="00E05C8D">
        <w:rPr>
          <w:rFonts w:cs="Arial"/>
          <w:b/>
          <w:sz w:val="36"/>
          <w:szCs w:val="36"/>
        </w:rPr>
        <w:t xml:space="preserve"> </w:t>
      </w:r>
    </w:p>
    <w:p w14:paraId="50E51990" w14:textId="269BC834" w:rsidR="0028210F" w:rsidRPr="00E05C8D" w:rsidRDefault="0028210F" w:rsidP="0028210F">
      <w:pPr>
        <w:jc w:val="center"/>
        <w:rPr>
          <w:rFonts w:cs="Arial"/>
          <w:b/>
          <w:bCs/>
          <w:sz w:val="36"/>
          <w:szCs w:val="36"/>
        </w:rPr>
      </w:pPr>
      <w:r w:rsidRPr="00E05C8D">
        <w:rPr>
          <w:rFonts w:cs="Arial"/>
          <w:b/>
          <w:sz w:val="36"/>
          <w:szCs w:val="36"/>
        </w:rPr>
        <w:t xml:space="preserve">Course in </w:t>
      </w:r>
      <w:r w:rsidRPr="00E05C8D">
        <w:rPr>
          <w:b/>
          <w:sz w:val="36"/>
          <w:szCs w:val="36"/>
        </w:rPr>
        <w:t>Workplace Spotting for Service Assets</w:t>
      </w:r>
    </w:p>
    <w:p w14:paraId="001279B7" w14:textId="77777777" w:rsidR="0028210F" w:rsidRPr="004F69D9" w:rsidRDefault="0028210F" w:rsidP="0028210F">
      <w:pPr>
        <w:pStyle w:val="Headingfrontpages"/>
      </w:pPr>
    </w:p>
    <w:p w14:paraId="5FD41122" w14:textId="77777777" w:rsidR="0028210F" w:rsidRDefault="0028210F" w:rsidP="0028210F">
      <w:pPr>
        <w:spacing w:before="60" w:after="60" w:line="240" w:lineRule="atLeast"/>
        <w:ind w:left="90" w:right="77"/>
        <w:jc w:val="center"/>
        <w:rPr>
          <w:rFonts w:eastAsia="Arial" w:cs="Arial"/>
          <w:color w:val="000000" w:themeColor="text1"/>
          <w:spacing w:val="1"/>
          <w:sz w:val="28"/>
          <w:szCs w:val="22"/>
          <w:lang w:val="en-AU" w:eastAsia="en-AU"/>
        </w:rPr>
      </w:pPr>
      <w:r w:rsidRPr="00761567">
        <w:rPr>
          <w:rFonts w:eastAsia="Arial" w:cs="Arial"/>
          <w:color w:val="000000" w:themeColor="text1"/>
          <w:spacing w:val="1"/>
          <w:sz w:val="28"/>
          <w:szCs w:val="22"/>
          <w:lang w:val="en-AU" w:eastAsia="en-AU"/>
        </w:rPr>
        <w:t>This course has been accredited under Part 4.4 of the Education and Training Reform Act 2006</w:t>
      </w:r>
    </w:p>
    <w:p w14:paraId="65A23345" w14:textId="77777777" w:rsidR="0028210F" w:rsidRPr="004F69D9" w:rsidRDefault="0028210F" w:rsidP="0028210F">
      <w:pPr>
        <w:spacing w:before="60" w:after="60" w:line="240" w:lineRule="atLeast"/>
        <w:ind w:left="90" w:right="77"/>
        <w:jc w:val="center"/>
        <w:rPr>
          <w:rFonts w:eastAsia="Arial"/>
        </w:rPr>
      </w:pPr>
    </w:p>
    <w:p w14:paraId="1A95D774" w14:textId="79580B56" w:rsidR="0028210F" w:rsidRDefault="0028210F" w:rsidP="0082392E">
      <w:pPr>
        <w:pStyle w:val="Bold"/>
        <w:rPr>
          <w:lang w:val="en-AU" w:eastAsia="en-AU"/>
        </w:rPr>
      </w:pPr>
      <w:r w:rsidRPr="00575A9C">
        <w:rPr>
          <w:color w:val="000000" w:themeColor="text1"/>
          <w:lang w:val="en-AU" w:eastAsia="en-AU"/>
        </w:rPr>
        <w:t>Accreditation period</w:t>
      </w:r>
      <w:r w:rsidRPr="00384A45">
        <w:rPr>
          <w:color w:val="000000" w:themeColor="text1"/>
          <w:lang w:val="en-AU" w:eastAsia="en-AU"/>
        </w:rPr>
        <w:t xml:space="preserve">: </w:t>
      </w:r>
      <w:r w:rsidRPr="00F36C29">
        <w:rPr>
          <w:rStyle w:val="BodycopyChar"/>
        </w:rPr>
        <w:t xml:space="preserve">01 July </w:t>
      </w:r>
      <w:r w:rsidRPr="006C0EAA">
        <w:rPr>
          <w:rStyle w:val="BodycopyChar"/>
        </w:rPr>
        <w:t>2022</w:t>
      </w:r>
      <w:r w:rsidRPr="006C0EAA">
        <w:rPr>
          <w:lang w:val="en-AU" w:eastAsia="en-AU"/>
        </w:rPr>
        <w:t xml:space="preserve"> to 30 June 2027</w:t>
      </w:r>
    </w:p>
    <w:p w14:paraId="41B7E238" w14:textId="77777777" w:rsidR="0028210F" w:rsidRDefault="0028210F" w:rsidP="0082392E">
      <w:pPr>
        <w:pStyle w:val="Bold"/>
        <w:rPr>
          <w:lang w:val="en-AU" w:eastAsia="en-AU"/>
        </w:rPr>
      </w:pPr>
    </w:p>
    <w:p w14:paraId="7C1C1DAA" w14:textId="77777777" w:rsidR="0028210F" w:rsidRDefault="0028210F"/>
    <w:p w14:paraId="55EE7872" w14:textId="0F31948A" w:rsidR="00E50851" w:rsidRDefault="00E50851">
      <w:pPr>
        <w:sectPr w:rsidR="00E50851" w:rsidSect="00022C79">
          <w:footerReference w:type="default" r:id="rId10"/>
          <w:pgSz w:w="11906" w:h="16838" w:code="9"/>
          <w:pgMar w:top="1440" w:right="1440" w:bottom="1440" w:left="1440" w:header="709" w:footer="709" w:gutter="0"/>
          <w:cols w:space="708"/>
          <w:vAlign w:val="center"/>
          <w:docGrid w:linePitch="360"/>
        </w:sectPr>
      </w:pPr>
    </w:p>
    <w:p w14:paraId="1AEF12B8" w14:textId="77777777" w:rsidR="0028210F" w:rsidRPr="00D26843" w:rsidRDefault="0028210F" w:rsidP="0028210F">
      <w:pPr>
        <w:spacing w:before="120" w:after="120"/>
        <w:rPr>
          <w:rFonts w:eastAsia="Arial"/>
          <w:iCs/>
          <w:color w:val="000000" w:themeColor="text1"/>
          <w:spacing w:val="3"/>
        </w:rPr>
      </w:pPr>
      <w:r w:rsidRPr="00D26843">
        <w:rPr>
          <w:rFonts w:eastAsia="Arial"/>
          <w:iCs/>
          <w:color w:val="000000" w:themeColor="text1"/>
          <w:spacing w:val="3"/>
        </w:rPr>
        <w:lastRenderedPageBreak/>
        <w:t>© State</w:t>
      </w:r>
      <w:r w:rsidRPr="00D26843">
        <w:rPr>
          <w:rFonts w:eastAsia="Arial"/>
          <w:iCs/>
          <w:color w:val="000000" w:themeColor="text1"/>
          <w:spacing w:val="2"/>
        </w:rPr>
        <w:t xml:space="preserve"> </w:t>
      </w:r>
      <w:r w:rsidRPr="00D26843">
        <w:rPr>
          <w:rFonts w:eastAsia="Arial"/>
          <w:iCs/>
          <w:color w:val="000000" w:themeColor="text1"/>
          <w:spacing w:val="3"/>
        </w:rPr>
        <w:t>of Victoria (Department of Education and Training)</w:t>
      </w:r>
      <w:r w:rsidRPr="00D26843">
        <w:rPr>
          <w:rFonts w:eastAsia="Arial"/>
          <w:iCs/>
          <w:color w:val="000000" w:themeColor="text1"/>
          <w:spacing w:val="14"/>
        </w:rPr>
        <w:t xml:space="preserve"> </w:t>
      </w:r>
      <w:r>
        <w:rPr>
          <w:rFonts w:eastAsia="Arial"/>
          <w:iCs/>
          <w:color w:val="000000" w:themeColor="text1"/>
          <w:spacing w:val="3"/>
        </w:rPr>
        <w:t>2022</w:t>
      </w:r>
      <w:r w:rsidRPr="00D26843">
        <w:rPr>
          <w:rFonts w:eastAsia="Arial"/>
          <w:iCs/>
          <w:color w:val="000000" w:themeColor="text1"/>
          <w:spacing w:val="3"/>
        </w:rPr>
        <w:t>.</w:t>
      </w:r>
    </w:p>
    <w:p w14:paraId="60ADE419" w14:textId="77777777" w:rsidR="0028210F" w:rsidRPr="00D26843" w:rsidRDefault="0028210F" w:rsidP="0028210F">
      <w:pPr>
        <w:spacing w:before="120" w:after="120"/>
        <w:rPr>
          <w:rFonts w:eastAsia="Arial"/>
          <w:iCs/>
          <w:color w:val="000000" w:themeColor="text1"/>
          <w:spacing w:val="3"/>
        </w:rPr>
      </w:pPr>
      <w:r w:rsidRPr="00D26843">
        <w:rPr>
          <w:rFonts w:eastAsia="Arial"/>
          <w:iCs/>
          <w:color w:val="000000" w:themeColor="text1"/>
          <w:spacing w:val="3"/>
        </w:rPr>
        <w:t>Copyr</w:t>
      </w:r>
      <w:r w:rsidRPr="00D26843">
        <w:rPr>
          <w:rFonts w:eastAsia="Arial"/>
          <w:iCs/>
          <w:color w:val="000000" w:themeColor="text1"/>
          <w:spacing w:val="-1"/>
        </w:rPr>
        <w:t>i</w:t>
      </w:r>
      <w:r w:rsidRPr="00D26843">
        <w:rPr>
          <w:rFonts w:eastAsia="Arial"/>
          <w:iCs/>
          <w:color w:val="000000" w:themeColor="text1"/>
          <w:spacing w:val="2"/>
        </w:rPr>
        <w:t>g</w:t>
      </w:r>
      <w:r w:rsidRPr="00D26843">
        <w:rPr>
          <w:rFonts w:eastAsia="Arial"/>
          <w:iCs/>
          <w:color w:val="000000" w:themeColor="text1"/>
          <w:spacing w:val="3"/>
        </w:rPr>
        <w:t>ht</w:t>
      </w:r>
      <w:r w:rsidRPr="00D26843">
        <w:rPr>
          <w:rFonts w:eastAsia="Arial"/>
          <w:iCs/>
          <w:color w:val="000000" w:themeColor="text1"/>
          <w:spacing w:val="-1"/>
        </w:rPr>
        <w:t xml:space="preserve"> </w:t>
      </w:r>
      <w:r w:rsidRPr="00D26843">
        <w:rPr>
          <w:rFonts w:eastAsia="Arial"/>
          <w:iCs/>
          <w:color w:val="000000" w:themeColor="text1"/>
          <w:spacing w:val="3"/>
        </w:rPr>
        <w:t>of</w:t>
      </w:r>
      <w:r w:rsidRPr="00D26843">
        <w:rPr>
          <w:rFonts w:eastAsia="Arial"/>
          <w:iCs/>
          <w:color w:val="000000" w:themeColor="text1"/>
          <w:spacing w:val="-1"/>
        </w:rPr>
        <w:t xml:space="preserve"> </w:t>
      </w:r>
      <w:r w:rsidRPr="00D26843">
        <w:rPr>
          <w:rFonts w:eastAsia="Arial"/>
          <w:iCs/>
          <w:color w:val="000000" w:themeColor="text1"/>
          <w:spacing w:val="3"/>
        </w:rPr>
        <w:t>this material is res</w:t>
      </w:r>
      <w:r w:rsidRPr="00D26843">
        <w:rPr>
          <w:rFonts w:eastAsia="Arial"/>
          <w:iCs/>
          <w:color w:val="000000" w:themeColor="text1"/>
          <w:spacing w:val="-6"/>
        </w:rPr>
        <w:t>e</w:t>
      </w:r>
      <w:r w:rsidRPr="00D26843">
        <w:rPr>
          <w:rFonts w:eastAsia="Arial"/>
          <w:iCs/>
          <w:color w:val="000000" w:themeColor="text1"/>
          <w:spacing w:val="3"/>
        </w:rPr>
        <w:t>rved to the</w:t>
      </w:r>
      <w:r w:rsidRPr="00D26843">
        <w:rPr>
          <w:rFonts w:eastAsia="Arial"/>
          <w:iCs/>
          <w:color w:val="000000" w:themeColor="text1"/>
          <w:spacing w:val="8"/>
        </w:rPr>
        <w:t xml:space="preserve"> </w:t>
      </w:r>
      <w:r w:rsidRPr="00D26843">
        <w:rPr>
          <w:rFonts w:eastAsia="Arial"/>
          <w:iCs/>
          <w:color w:val="000000" w:themeColor="text1"/>
          <w:spacing w:val="3"/>
        </w:rPr>
        <w:t>Crown</w:t>
      </w:r>
      <w:r w:rsidRPr="00D26843">
        <w:rPr>
          <w:rFonts w:eastAsia="Arial"/>
          <w:iCs/>
          <w:color w:val="000000" w:themeColor="text1"/>
          <w:spacing w:val="-1"/>
        </w:rPr>
        <w:t xml:space="preserve"> </w:t>
      </w:r>
      <w:r w:rsidRPr="00D26843">
        <w:rPr>
          <w:rFonts w:eastAsia="Arial"/>
          <w:iCs/>
          <w:color w:val="000000" w:themeColor="text1"/>
          <w:spacing w:val="3"/>
        </w:rPr>
        <w:t>in</w:t>
      </w:r>
      <w:r w:rsidRPr="00D26843">
        <w:rPr>
          <w:rFonts w:eastAsia="Arial"/>
          <w:iCs/>
          <w:color w:val="000000" w:themeColor="text1"/>
          <w:spacing w:val="-1"/>
        </w:rPr>
        <w:t xml:space="preserve"> </w:t>
      </w:r>
      <w:r w:rsidRPr="00D26843">
        <w:rPr>
          <w:rFonts w:eastAsia="Arial"/>
          <w:iCs/>
          <w:color w:val="000000" w:themeColor="text1"/>
          <w:spacing w:val="3"/>
        </w:rPr>
        <w:t>the</w:t>
      </w:r>
      <w:r w:rsidRPr="00D26843">
        <w:rPr>
          <w:rFonts w:eastAsia="Arial"/>
          <w:iCs/>
          <w:color w:val="000000" w:themeColor="text1"/>
          <w:spacing w:val="-3"/>
        </w:rPr>
        <w:t xml:space="preserve"> </w:t>
      </w:r>
      <w:r w:rsidRPr="00D26843">
        <w:rPr>
          <w:rFonts w:eastAsia="Arial"/>
          <w:iCs/>
          <w:color w:val="000000" w:themeColor="text1"/>
          <w:spacing w:val="3"/>
        </w:rPr>
        <w:t>right of the</w:t>
      </w:r>
      <w:r w:rsidRPr="00D26843">
        <w:rPr>
          <w:rFonts w:eastAsia="Arial"/>
          <w:iCs/>
          <w:color w:val="000000" w:themeColor="text1"/>
          <w:spacing w:val="-10"/>
        </w:rPr>
        <w:t xml:space="preserve"> </w:t>
      </w:r>
      <w:r w:rsidRPr="00D26843">
        <w:rPr>
          <w:rFonts w:eastAsia="Arial"/>
          <w:iCs/>
          <w:color w:val="000000" w:themeColor="text1"/>
          <w:spacing w:val="3"/>
        </w:rPr>
        <w:t>State</w:t>
      </w:r>
      <w:r w:rsidRPr="00D26843">
        <w:rPr>
          <w:rFonts w:eastAsia="Arial"/>
          <w:iCs/>
          <w:color w:val="000000" w:themeColor="text1"/>
          <w:spacing w:val="-1"/>
        </w:rPr>
        <w:t xml:space="preserve"> </w:t>
      </w:r>
      <w:r w:rsidRPr="00D26843">
        <w:rPr>
          <w:rFonts w:eastAsia="Arial"/>
          <w:iCs/>
          <w:color w:val="000000" w:themeColor="text1"/>
          <w:spacing w:val="3"/>
        </w:rPr>
        <w:t>of</w:t>
      </w:r>
      <w:r w:rsidRPr="00D26843">
        <w:rPr>
          <w:rFonts w:eastAsia="Arial"/>
          <w:iCs/>
          <w:color w:val="000000" w:themeColor="text1"/>
          <w:spacing w:val="-1"/>
        </w:rPr>
        <w:t xml:space="preserve"> </w:t>
      </w:r>
      <w:r w:rsidRPr="00D26843">
        <w:rPr>
          <w:rFonts w:eastAsia="Arial"/>
          <w:iCs/>
          <w:color w:val="000000" w:themeColor="text1"/>
          <w:spacing w:val="3"/>
        </w:rPr>
        <w:t>Victoria. Th</w:t>
      </w:r>
      <w:r w:rsidRPr="00D26843">
        <w:rPr>
          <w:rFonts w:eastAsia="Arial"/>
          <w:iCs/>
          <w:color w:val="000000" w:themeColor="text1"/>
          <w:spacing w:val="-1"/>
        </w:rPr>
        <w:t>i</w:t>
      </w:r>
      <w:r w:rsidRPr="00D26843">
        <w:rPr>
          <w:rFonts w:eastAsia="Arial"/>
          <w:iCs/>
          <w:color w:val="000000" w:themeColor="text1"/>
          <w:spacing w:val="3"/>
        </w:rPr>
        <w:t>s w</w:t>
      </w:r>
      <w:r w:rsidRPr="00D26843">
        <w:rPr>
          <w:rFonts w:eastAsia="Arial"/>
          <w:iCs/>
          <w:color w:val="000000" w:themeColor="text1"/>
          <w:spacing w:val="-5"/>
        </w:rPr>
        <w:t>o</w:t>
      </w:r>
      <w:r w:rsidRPr="00D26843">
        <w:rPr>
          <w:rFonts w:eastAsia="Arial"/>
          <w:iCs/>
          <w:color w:val="000000" w:themeColor="text1"/>
          <w:spacing w:val="3"/>
        </w:rPr>
        <w:t>rk is licensed</w:t>
      </w:r>
      <w:r w:rsidRPr="00D26843">
        <w:rPr>
          <w:rFonts w:eastAsia="Arial"/>
          <w:iCs/>
          <w:color w:val="000000" w:themeColor="text1"/>
          <w:spacing w:val="2"/>
        </w:rPr>
        <w:t xml:space="preserve"> </w:t>
      </w:r>
      <w:r w:rsidRPr="00D26843">
        <w:rPr>
          <w:rFonts w:eastAsia="Arial"/>
          <w:iCs/>
          <w:color w:val="000000" w:themeColor="text1"/>
          <w:spacing w:val="3"/>
        </w:rPr>
        <w:t>un</w:t>
      </w:r>
      <w:r w:rsidRPr="00D26843">
        <w:rPr>
          <w:rFonts w:eastAsia="Arial"/>
          <w:iCs/>
          <w:color w:val="000000" w:themeColor="text1"/>
          <w:spacing w:val="-1"/>
        </w:rPr>
        <w:t>d</w:t>
      </w:r>
      <w:r w:rsidRPr="00D26843">
        <w:rPr>
          <w:rFonts w:eastAsia="Arial"/>
          <w:iCs/>
          <w:color w:val="000000" w:themeColor="text1"/>
          <w:spacing w:val="3"/>
        </w:rPr>
        <w:t>er a Creative</w:t>
      </w:r>
      <w:r w:rsidRPr="00D26843">
        <w:rPr>
          <w:rFonts w:eastAsia="Arial"/>
          <w:iCs/>
          <w:color w:val="000000" w:themeColor="text1"/>
          <w:spacing w:val="-2"/>
        </w:rPr>
        <w:t xml:space="preserve"> </w:t>
      </w:r>
      <w:r w:rsidRPr="00D26843">
        <w:rPr>
          <w:rFonts w:eastAsia="Arial"/>
          <w:iCs/>
          <w:color w:val="000000" w:themeColor="text1"/>
          <w:spacing w:val="3"/>
        </w:rPr>
        <w:t>Co</w:t>
      </w:r>
      <w:r w:rsidRPr="00D26843">
        <w:rPr>
          <w:rFonts w:eastAsia="Arial"/>
          <w:iCs/>
          <w:color w:val="000000" w:themeColor="text1"/>
          <w:spacing w:val="-5"/>
        </w:rPr>
        <w:t>m</w:t>
      </w:r>
      <w:r w:rsidRPr="00D26843">
        <w:rPr>
          <w:rFonts w:eastAsia="Arial"/>
          <w:iCs/>
          <w:color w:val="000000" w:themeColor="text1"/>
          <w:spacing w:val="-1"/>
        </w:rPr>
        <w:t>m</w:t>
      </w:r>
      <w:r w:rsidRPr="00D26843">
        <w:rPr>
          <w:rFonts w:eastAsia="Arial"/>
          <w:iCs/>
          <w:color w:val="000000" w:themeColor="text1"/>
          <w:spacing w:val="3"/>
        </w:rPr>
        <w:t>o</w:t>
      </w:r>
      <w:r w:rsidRPr="00D26843">
        <w:rPr>
          <w:rFonts w:eastAsia="Arial"/>
          <w:iCs/>
          <w:color w:val="000000" w:themeColor="text1"/>
          <w:spacing w:val="-1"/>
        </w:rPr>
        <w:t>n</w:t>
      </w:r>
      <w:r w:rsidRPr="00D26843">
        <w:rPr>
          <w:rFonts w:eastAsia="Arial"/>
          <w:iCs/>
          <w:color w:val="000000" w:themeColor="text1"/>
          <w:spacing w:val="3"/>
        </w:rPr>
        <w:t>s Attribut</w:t>
      </w:r>
      <w:r w:rsidRPr="00D26843">
        <w:rPr>
          <w:rFonts w:eastAsia="Arial"/>
          <w:iCs/>
          <w:color w:val="000000" w:themeColor="text1"/>
          <w:spacing w:val="8"/>
        </w:rPr>
        <w:t>i</w:t>
      </w:r>
      <w:r w:rsidRPr="00D26843">
        <w:rPr>
          <w:rFonts w:eastAsia="Arial"/>
          <w:iCs/>
          <w:color w:val="000000" w:themeColor="text1"/>
          <w:spacing w:val="3"/>
        </w:rPr>
        <w:t>o</w:t>
      </w:r>
      <w:r w:rsidRPr="00D26843">
        <w:rPr>
          <w:rFonts w:eastAsia="Arial"/>
          <w:iCs/>
          <w:color w:val="000000" w:themeColor="text1"/>
          <w:spacing w:val="-1"/>
        </w:rPr>
        <w:t>n</w:t>
      </w:r>
      <w:r w:rsidRPr="00D26843">
        <w:rPr>
          <w:rFonts w:eastAsia="Arial"/>
          <w:iCs/>
          <w:color w:val="000000" w:themeColor="text1"/>
          <w:spacing w:val="3"/>
        </w:rPr>
        <w:t>-NoDeri</w:t>
      </w:r>
      <w:r w:rsidRPr="00D26843">
        <w:rPr>
          <w:rFonts w:eastAsia="Arial"/>
          <w:iCs/>
          <w:color w:val="000000" w:themeColor="text1"/>
          <w:spacing w:val="-3"/>
        </w:rPr>
        <w:t>v</w:t>
      </w:r>
      <w:r w:rsidRPr="00D26843">
        <w:rPr>
          <w:rFonts w:eastAsia="Arial"/>
          <w:iCs/>
          <w:color w:val="000000" w:themeColor="text1"/>
          <w:spacing w:val="3"/>
        </w:rPr>
        <w:t>s 3.0 A</w:t>
      </w:r>
      <w:r w:rsidRPr="00D26843">
        <w:rPr>
          <w:rFonts w:eastAsia="Arial"/>
          <w:iCs/>
          <w:color w:val="000000" w:themeColor="text1"/>
          <w:spacing w:val="-1"/>
        </w:rPr>
        <w:t>u</w:t>
      </w:r>
      <w:r w:rsidRPr="00D26843">
        <w:rPr>
          <w:rFonts w:eastAsia="Arial"/>
          <w:iCs/>
          <w:color w:val="000000" w:themeColor="text1"/>
          <w:spacing w:val="3"/>
        </w:rPr>
        <w:t>stra</w:t>
      </w:r>
      <w:r w:rsidRPr="00D26843">
        <w:rPr>
          <w:rFonts w:eastAsia="Arial"/>
          <w:iCs/>
          <w:color w:val="000000" w:themeColor="text1"/>
          <w:spacing w:val="-9"/>
        </w:rPr>
        <w:t>l</w:t>
      </w:r>
      <w:r w:rsidRPr="00D26843">
        <w:rPr>
          <w:rFonts w:eastAsia="Arial"/>
          <w:iCs/>
          <w:color w:val="000000" w:themeColor="text1"/>
          <w:spacing w:val="3"/>
        </w:rPr>
        <w:t>ia lice</w:t>
      </w:r>
      <w:r w:rsidRPr="00D26843">
        <w:rPr>
          <w:rFonts w:eastAsia="Arial"/>
          <w:iCs/>
          <w:color w:val="000000" w:themeColor="text1"/>
          <w:spacing w:val="-1"/>
        </w:rPr>
        <w:t>n</w:t>
      </w:r>
      <w:r w:rsidRPr="00D26843">
        <w:rPr>
          <w:rFonts w:eastAsia="Arial"/>
          <w:iCs/>
          <w:color w:val="000000" w:themeColor="text1"/>
          <w:spacing w:val="3"/>
        </w:rPr>
        <w:t xml:space="preserve">ce </w:t>
      </w:r>
      <w:hyperlink r:id="rId11" w:history="1">
        <w:r w:rsidRPr="00D26843">
          <w:rPr>
            <w:rFonts w:eastAsia="Arial"/>
            <w:i/>
            <w:iCs/>
            <w:color w:val="0000FF"/>
            <w:spacing w:val="3"/>
            <w:u w:val="single"/>
          </w:rPr>
          <w:t>here</w:t>
        </w:r>
      </w:hyperlink>
      <w:r>
        <w:rPr>
          <w:rFonts w:eastAsia="Arial"/>
          <w:iCs/>
          <w:color w:val="000000" w:themeColor="text1"/>
          <w:spacing w:val="3"/>
        </w:rPr>
        <w:t>.</w:t>
      </w:r>
    </w:p>
    <w:p w14:paraId="0A148953" w14:textId="77777777" w:rsidR="0028210F" w:rsidRPr="00D26843" w:rsidRDefault="0028210F" w:rsidP="0028210F">
      <w:pPr>
        <w:spacing w:before="120" w:after="120"/>
        <w:rPr>
          <w:rFonts w:eastAsia="Arial"/>
          <w:iCs/>
          <w:color w:val="000000" w:themeColor="text1"/>
          <w:spacing w:val="3"/>
        </w:rPr>
      </w:pPr>
      <w:r w:rsidRPr="00D26843">
        <w:rPr>
          <w:rFonts w:eastAsia="Arial"/>
          <w:iCs/>
          <w:color w:val="000000" w:themeColor="text1"/>
          <w:spacing w:val="3"/>
        </w:rPr>
        <w:t>You</w:t>
      </w:r>
      <w:r w:rsidRPr="00D26843">
        <w:rPr>
          <w:rFonts w:eastAsia="Arial"/>
          <w:iCs/>
          <w:color w:val="000000" w:themeColor="text1"/>
          <w:spacing w:val="-3"/>
        </w:rPr>
        <w:t xml:space="preserve"> </w:t>
      </w:r>
      <w:r w:rsidRPr="00D26843">
        <w:rPr>
          <w:rFonts w:eastAsia="Arial"/>
          <w:iCs/>
          <w:color w:val="000000" w:themeColor="text1"/>
          <w:spacing w:val="3"/>
        </w:rPr>
        <w:t>are</w:t>
      </w:r>
      <w:r w:rsidRPr="00D26843">
        <w:rPr>
          <w:rFonts w:eastAsia="Arial"/>
          <w:iCs/>
          <w:color w:val="000000" w:themeColor="text1"/>
          <w:spacing w:val="-1"/>
        </w:rPr>
        <w:t xml:space="preserve"> </w:t>
      </w:r>
      <w:r w:rsidRPr="00D26843">
        <w:rPr>
          <w:rFonts w:eastAsia="Arial"/>
          <w:iCs/>
          <w:color w:val="000000" w:themeColor="text1"/>
          <w:spacing w:val="3"/>
        </w:rPr>
        <w:t>free to</w:t>
      </w:r>
      <w:r w:rsidRPr="00D26843">
        <w:rPr>
          <w:rFonts w:eastAsia="Arial"/>
          <w:iCs/>
          <w:color w:val="000000" w:themeColor="text1"/>
          <w:spacing w:val="-1"/>
        </w:rPr>
        <w:t xml:space="preserve"> </w:t>
      </w:r>
      <w:r w:rsidRPr="00D26843">
        <w:rPr>
          <w:rFonts w:eastAsia="Arial"/>
          <w:iCs/>
          <w:color w:val="000000" w:themeColor="text1"/>
          <w:spacing w:val="-9"/>
        </w:rPr>
        <w:t>u</w:t>
      </w:r>
      <w:r w:rsidRPr="00D26843">
        <w:rPr>
          <w:rFonts w:eastAsia="Arial"/>
          <w:iCs/>
          <w:color w:val="000000" w:themeColor="text1"/>
          <w:spacing w:val="3"/>
        </w:rPr>
        <w:t>se</w:t>
      </w:r>
      <w:r w:rsidRPr="00D26843">
        <w:rPr>
          <w:rFonts w:eastAsia="Arial"/>
          <w:iCs/>
          <w:color w:val="000000" w:themeColor="text1"/>
          <w:spacing w:val="-1"/>
        </w:rPr>
        <w:t xml:space="preserve"> </w:t>
      </w:r>
      <w:r w:rsidRPr="00D26843">
        <w:rPr>
          <w:rFonts w:eastAsia="Arial"/>
          <w:iCs/>
          <w:color w:val="000000" w:themeColor="text1"/>
          <w:spacing w:val="3"/>
        </w:rPr>
        <w:t>c</w:t>
      </w:r>
      <w:r w:rsidRPr="00D26843">
        <w:rPr>
          <w:rFonts w:eastAsia="Arial"/>
          <w:iCs/>
          <w:color w:val="000000" w:themeColor="text1"/>
          <w:spacing w:val="-1"/>
        </w:rPr>
        <w:t>o</w:t>
      </w:r>
      <w:r w:rsidRPr="00D26843">
        <w:rPr>
          <w:rFonts w:eastAsia="Arial"/>
          <w:iCs/>
          <w:color w:val="000000" w:themeColor="text1"/>
          <w:spacing w:val="3"/>
        </w:rPr>
        <w:t>py</w:t>
      </w:r>
      <w:r w:rsidRPr="00D26843">
        <w:rPr>
          <w:rFonts w:eastAsia="Arial"/>
          <w:iCs/>
          <w:color w:val="000000" w:themeColor="text1"/>
          <w:spacing w:val="-1"/>
        </w:rPr>
        <w:t xml:space="preserve"> </w:t>
      </w:r>
      <w:r w:rsidRPr="00D26843">
        <w:rPr>
          <w:rFonts w:eastAsia="Arial"/>
          <w:iCs/>
          <w:color w:val="000000" w:themeColor="text1"/>
          <w:spacing w:val="3"/>
        </w:rPr>
        <w:t>a</w:t>
      </w:r>
      <w:r w:rsidRPr="00D26843">
        <w:rPr>
          <w:rFonts w:eastAsia="Arial"/>
          <w:iCs/>
          <w:color w:val="000000" w:themeColor="text1"/>
          <w:spacing w:val="13"/>
        </w:rPr>
        <w:t>n</w:t>
      </w:r>
      <w:r w:rsidRPr="00D26843">
        <w:rPr>
          <w:rFonts w:eastAsia="Arial"/>
          <w:iCs/>
          <w:color w:val="000000" w:themeColor="text1"/>
          <w:spacing w:val="3"/>
        </w:rPr>
        <w:t>d distri</w:t>
      </w:r>
      <w:r w:rsidRPr="00D26843">
        <w:rPr>
          <w:rFonts w:eastAsia="Arial"/>
          <w:iCs/>
          <w:color w:val="000000" w:themeColor="text1"/>
          <w:spacing w:val="-1"/>
        </w:rPr>
        <w:t>b</w:t>
      </w:r>
      <w:r w:rsidRPr="00D26843">
        <w:rPr>
          <w:rFonts w:eastAsia="Arial"/>
          <w:iCs/>
          <w:color w:val="000000" w:themeColor="text1"/>
          <w:spacing w:val="3"/>
        </w:rPr>
        <w:t>ute</w:t>
      </w:r>
      <w:r w:rsidRPr="00D26843">
        <w:rPr>
          <w:rFonts w:eastAsia="Arial"/>
          <w:iCs/>
          <w:color w:val="000000" w:themeColor="text1"/>
          <w:spacing w:val="-5"/>
        </w:rPr>
        <w:t xml:space="preserve"> </w:t>
      </w:r>
      <w:r w:rsidRPr="00D26843">
        <w:rPr>
          <w:rFonts w:eastAsia="Arial"/>
          <w:iCs/>
          <w:color w:val="000000" w:themeColor="text1"/>
          <w:spacing w:val="3"/>
        </w:rPr>
        <w:t>to anyone in its orig</w:t>
      </w:r>
      <w:r w:rsidRPr="00D26843">
        <w:rPr>
          <w:rFonts w:eastAsia="Arial"/>
          <w:iCs/>
          <w:color w:val="000000" w:themeColor="text1"/>
          <w:spacing w:val="-1"/>
        </w:rPr>
        <w:t>i</w:t>
      </w:r>
      <w:r w:rsidRPr="00D26843">
        <w:rPr>
          <w:rFonts w:eastAsia="Arial"/>
          <w:iCs/>
          <w:color w:val="000000" w:themeColor="text1"/>
          <w:spacing w:val="3"/>
        </w:rPr>
        <w:t>nal</w:t>
      </w:r>
      <w:r w:rsidRPr="00D26843">
        <w:rPr>
          <w:rFonts w:eastAsia="Arial"/>
          <w:iCs/>
          <w:color w:val="000000" w:themeColor="text1"/>
          <w:spacing w:val="-1"/>
        </w:rPr>
        <w:t xml:space="preserve"> </w:t>
      </w:r>
      <w:r w:rsidRPr="00D26843">
        <w:rPr>
          <w:rFonts w:eastAsia="Arial"/>
          <w:iCs/>
          <w:color w:val="000000" w:themeColor="text1"/>
          <w:spacing w:val="3"/>
        </w:rPr>
        <w:t xml:space="preserve">form as long </w:t>
      </w:r>
      <w:r w:rsidRPr="00D26843">
        <w:rPr>
          <w:rFonts w:eastAsia="Arial"/>
          <w:iCs/>
          <w:color w:val="000000" w:themeColor="text1"/>
          <w:spacing w:val="-1"/>
        </w:rPr>
        <w:t>a</w:t>
      </w:r>
      <w:r w:rsidRPr="00D26843">
        <w:rPr>
          <w:rFonts w:eastAsia="Arial"/>
          <w:iCs/>
          <w:color w:val="000000" w:themeColor="text1"/>
          <w:spacing w:val="3"/>
        </w:rPr>
        <w:t>s</w:t>
      </w:r>
      <w:r w:rsidRPr="00D26843">
        <w:rPr>
          <w:rFonts w:eastAsia="Arial"/>
          <w:iCs/>
          <w:color w:val="000000" w:themeColor="text1"/>
          <w:spacing w:val="-1"/>
        </w:rPr>
        <w:t xml:space="preserve"> </w:t>
      </w:r>
      <w:r w:rsidRPr="00D26843">
        <w:rPr>
          <w:rFonts w:eastAsia="Arial"/>
          <w:iCs/>
          <w:color w:val="000000" w:themeColor="text1"/>
          <w:spacing w:val="3"/>
        </w:rPr>
        <w:t xml:space="preserve">you </w:t>
      </w:r>
      <w:r w:rsidRPr="00D26843">
        <w:rPr>
          <w:rFonts w:eastAsia="Arial"/>
          <w:iCs/>
          <w:color w:val="000000" w:themeColor="text1"/>
          <w:spacing w:val="-5"/>
        </w:rPr>
        <w:t>a</w:t>
      </w:r>
      <w:r w:rsidRPr="00D26843">
        <w:rPr>
          <w:rFonts w:eastAsia="Arial"/>
          <w:iCs/>
          <w:color w:val="000000" w:themeColor="text1"/>
          <w:spacing w:val="3"/>
        </w:rPr>
        <w:t xml:space="preserve">ttribute Department of </w:t>
      </w:r>
      <w:r w:rsidRPr="00D26843">
        <w:rPr>
          <w:rFonts w:eastAsia="Arial"/>
          <w:iCs/>
          <w:color w:val="000000" w:themeColor="text1"/>
          <w:spacing w:val="-1"/>
        </w:rPr>
        <w:t>E</w:t>
      </w:r>
      <w:r w:rsidRPr="00D26843">
        <w:rPr>
          <w:rFonts w:eastAsia="Arial"/>
          <w:iCs/>
          <w:color w:val="000000" w:themeColor="text1"/>
          <w:spacing w:val="3"/>
        </w:rPr>
        <w:t>d</w:t>
      </w:r>
      <w:r w:rsidRPr="00D26843">
        <w:rPr>
          <w:rFonts w:eastAsia="Arial"/>
          <w:iCs/>
          <w:color w:val="000000" w:themeColor="text1"/>
          <w:spacing w:val="-1"/>
        </w:rPr>
        <w:t>u</w:t>
      </w:r>
      <w:r w:rsidRPr="00D26843">
        <w:rPr>
          <w:rFonts w:eastAsia="Arial"/>
          <w:iCs/>
          <w:color w:val="000000" w:themeColor="text1"/>
          <w:spacing w:val="3"/>
        </w:rPr>
        <w:t>c</w:t>
      </w:r>
      <w:r w:rsidRPr="00D26843">
        <w:rPr>
          <w:rFonts w:eastAsia="Arial"/>
          <w:iCs/>
          <w:color w:val="000000" w:themeColor="text1"/>
          <w:spacing w:val="-1"/>
        </w:rPr>
        <w:t>ati</w:t>
      </w:r>
      <w:r w:rsidRPr="00D26843">
        <w:rPr>
          <w:rFonts w:eastAsia="Arial"/>
          <w:iCs/>
          <w:color w:val="000000" w:themeColor="text1"/>
          <w:spacing w:val="-2"/>
        </w:rPr>
        <w:t>o</w:t>
      </w:r>
      <w:r w:rsidRPr="00D26843">
        <w:rPr>
          <w:rFonts w:eastAsia="Arial"/>
          <w:iCs/>
          <w:color w:val="000000" w:themeColor="text1"/>
          <w:spacing w:val="3"/>
        </w:rPr>
        <w:t>n and Training,</w:t>
      </w:r>
      <w:r w:rsidRPr="00D26843">
        <w:rPr>
          <w:rFonts w:eastAsia="Arial"/>
          <w:iCs/>
          <w:color w:val="000000" w:themeColor="text1"/>
          <w:spacing w:val="-1"/>
        </w:rPr>
        <w:t xml:space="preserve"> </w:t>
      </w:r>
      <w:r w:rsidRPr="00D26843">
        <w:rPr>
          <w:rFonts w:eastAsia="Arial"/>
          <w:iCs/>
          <w:color w:val="000000" w:themeColor="text1"/>
          <w:spacing w:val="3"/>
        </w:rPr>
        <w:t>as</w:t>
      </w:r>
      <w:r w:rsidRPr="00D26843">
        <w:rPr>
          <w:rFonts w:eastAsia="Arial"/>
          <w:iCs/>
          <w:color w:val="000000" w:themeColor="text1"/>
          <w:spacing w:val="-5"/>
        </w:rPr>
        <w:t xml:space="preserve"> </w:t>
      </w:r>
      <w:r w:rsidRPr="00D26843">
        <w:rPr>
          <w:rFonts w:eastAsia="Arial"/>
          <w:iCs/>
          <w:color w:val="000000" w:themeColor="text1"/>
          <w:spacing w:val="3"/>
        </w:rPr>
        <w:t>the au</w:t>
      </w:r>
      <w:r w:rsidRPr="00D26843">
        <w:rPr>
          <w:rFonts w:eastAsia="Arial"/>
          <w:iCs/>
          <w:color w:val="000000" w:themeColor="text1"/>
          <w:spacing w:val="-2"/>
        </w:rPr>
        <w:t>t</w:t>
      </w:r>
      <w:r w:rsidRPr="00D26843">
        <w:rPr>
          <w:rFonts w:eastAsia="Arial"/>
          <w:iCs/>
          <w:color w:val="000000" w:themeColor="text1"/>
          <w:spacing w:val="3"/>
        </w:rPr>
        <w:t>hor,</w:t>
      </w:r>
      <w:r w:rsidRPr="00D26843">
        <w:rPr>
          <w:rFonts w:eastAsia="Arial"/>
          <w:iCs/>
          <w:color w:val="000000" w:themeColor="text1"/>
          <w:spacing w:val="9"/>
        </w:rPr>
        <w:t xml:space="preserve"> </w:t>
      </w:r>
      <w:r w:rsidRPr="00D26843">
        <w:rPr>
          <w:rFonts w:eastAsia="Arial"/>
          <w:iCs/>
          <w:color w:val="000000" w:themeColor="text1"/>
          <w:spacing w:val="3"/>
        </w:rPr>
        <w:t xml:space="preserve">and you </w:t>
      </w:r>
      <w:r w:rsidRPr="00D26843">
        <w:rPr>
          <w:rFonts w:eastAsia="Arial"/>
          <w:iCs/>
          <w:color w:val="000000" w:themeColor="text1"/>
          <w:spacing w:val="-1"/>
        </w:rPr>
        <w:t>l</w:t>
      </w:r>
      <w:r w:rsidRPr="00D26843">
        <w:rPr>
          <w:rFonts w:eastAsia="Arial"/>
          <w:iCs/>
          <w:color w:val="000000" w:themeColor="text1"/>
          <w:spacing w:val="3"/>
        </w:rPr>
        <w:t>i</w:t>
      </w:r>
      <w:r w:rsidRPr="00D26843">
        <w:rPr>
          <w:rFonts w:eastAsia="Arial"/>
          <w:iCs/>
          <w:color w:val="000000" w:themeColor="text1"/>
          <w:spacing w:val="-2"/>
        </w:rPr>
        <w:t>c</w:t>
      </w:r>
      <w:r w:rsidRPr="00D26843">
        <w:rPr>
          <w:rFonts w:eastAsia="Arial"/>
          <w:iCs/>
          <w:color w:val="000000" w:themeColor="text1"/>
          <w:spacing w:val="3"/>
        </w:rPr>
        <w:t>e</w:t>
      </w:r>
      <w:r w:rsidRPr="00D26843">
        <w:rPr>
          <w:rFonts w:eastAsia="Arial"/>
          <w:iCs/>
          <w:color w:val="000000" w:themeColor="text1"/>
          <w:spacing w:val="-1"/>
        </w:rPr>
        <w:t>n</w:t>
      </w:r>
      <w:r w:rsidRPr="00D26843">
        <w:rPr>
          <w:rFonts w:eastAsia="Arial"/>
          <w:iCs/>
          <w:color w:val="000000" w:themeColor="text1"/>
          <w:spacing w:val="3"/>
        </w:rPr>
        <w:t xml:space="preserve">se </w:t>
      </w:r>
      <w:r w:rsidRPr="00D26843">
        <w:rPr>
          <w:rFonts w:eastAsia="Arial"/>
          <w:iCs/>
          <w:color w:val="000000" w:themeColor="text1"/>
          <w:spacing w:val="-1"/>
        </w:rPr>
        <w:t>a</w:t>
      </w:r>
      <w:r w:rsidRPr="00D26843">
        <w:rPr>
          <w:rFonts w:eastAsia="Arial"/>
          <w:iCs/>
          <w:color w:val="000000" w:themeColor="text1"/>
          <w:spacing w:val="3"/>
        </w:rPr>
        <w:t>ny</w:t>
      </w:r>
      <w:r w:rsidRPr="00D26843">
        <w:rPr>
          <w:rFonts w:eastAsia="Arial"/>
          <w:iCs/>
          <w:color w:val="000000" w:themeColor="text1"/>
          <w:spacing w:val="-1"/>
        </w:rPr>
        <w:t xml:space="preserve"> </w:t>
      </w:r>
      <w:r w:rsidRPr="00D26843">
        <w:rPr>
          <w:rFonts w:eastAsia="Arial"/>
          <w:iCs/>
          <w:color w:val="000000" w:themeColor="text1"/>
          <w:spacing w:val="3"/>
        </w:rPr>
        <w:t>de</w:t>
      </w:r>
      <w:r w:rsidRPr="00D26843">
        <w:rPr>
          <w:rFonts w:eastAsia="Arial"/>
          <w:iCs/>
          <w:color w:val="000000" w:themeColor="text1"/>
          <w:spacing w:val="-9"/>
        </w:rPr>
        <w:t>r</w:t>
      </w:r>
      <w:r w:rsidRPr="00D26843">
        <w:rPr>
          <w:rFonts w:eastAsia="Arial"/>
          <w:iCs/>
          <w:color w:val="000000" w:themeColor="text1"/>
          <w:spacing w:val="3"/>
        </w:rPr>
        <w:t>ivative</w:t>
      </w:r>
      <w:r w:rsidRPr="00D26843">
        <w:rPr>
          <w:rFonts w:eastAsia="Arial"/>
          <w:iCs/>
          <w:color w:val="000000" w:themeColor="text1"/>
          <w:spacing w:val="-1"/>
        </w:rPr>
        <w:t xml:space="preserve"> </w:t>
      </w:r>
      <w:r w:rsidRPr="00D26843">
        <w:rPr>
          <w:rFonts w:eastAsia="Arial"/>
          <w:iCs/>
          <w:color w:val="000000" w:themeColor="text1"/>
          <w:spacing w:val="3"/>
        </w:rPr>
        <w:t>w</w:t>
      </w:r>
      <w:r w:rsidRPr="00D26843">
        <w:rPr>
          <w:rFonts w:eastAsia="Arial"/>
          <w:iCs/>
          <w:color w:val="000000" w:themeColor="text1"/>
          <w:spacing w:val="-1"/>
        </w:rPr>
        <w:t>o</w:t>
      </w:r>
      <w:r w:rsidRPr="00D26843">
        <w:rPr>
          <w:rFonts w:eastAsia="Arial"/>
          <w:iCs/>
          <w:color w:val="000000" w:themeColor="text1"/>
          <w:spacing w:val="3"/>
        </w:rPr>
        <w:t>rk</w:t>
      </w:r>
      <w:r w:rsidRPr="00D26843">
        <w:rPr>
          <w:rFonts w:eastAsia="Arial"/>
          <w:iCs/>
          <w:color w:val="000000" w:themeColor="text1"/>
          <w:spacing w:val="14"/>
        </w:rPr>
        <w:t xml:space="preserve"> </w:t>
      </w:r>
      <w:r w:rsidRPr="00D26843">
        <w:rPr>
          <w:rFonts w:eastAsia="Arial"/>
          <w:iCs/>
          <w:color w:val="000000" w:themeColor="text1"/>
          <w:spacing w:val="3"/>
        </w:rPr>
        <w:t xml:space="preserve">you make </w:t>
      </w:r>
      <w:r w:rsidRPr="00D26843">
        <w:rPr>
          <w:rFonts w:eastAsia="Arial"/>
          <w:iCs/>
          <w:color w:val="000000" w:themeColor="text1"/>
          <w:spacing w:val="-4"/>
        </w:rPr>
        <w:t>a</w:t>
      </w:r>
      <w:r w:rsidRPr="00D26843">
        <w:rPr>
          <w:rFonts w:eastAsia="Arial"/>
          <w:iCs/>
          <w:color w:val="000000" w:themeColor="text1"/>
          <w:spacing w:val="-2"/>
        </w:rPr>
        <w:t>v</w:t>
      </w:r>
      <w:r w:rsidRPr="00D26843">
        <w:rPr>
          <w:rFonts w:eastAsia="Arial"/>
          <w:iCs/>
          <w:color w:val="000000" w:themeColor="text1"/>
          <w:spacing w:val="3"/>
        </w:rPr>
        <w:t>ailable und</w:t>
      </w:r>
      <w:r w:rsidRPr="00D26843">
        <w:rPr>
          <w:rFonts w:eastAsia="Arial"/>
          <w:iCs/>
          <w:color w:val="000000" w:themeColor="text1"/>
          <w:spacing w:val="-1"/>
        </w:rPr>
        <w:t>e</w:t>
      </w:r>
      <w:r w:rsidRPr="00D26843">
        <w:rPr>
          <w:rFonts w:eastAsia="Arial"/>
          <w:iCs/>
          <w:color w:val="000000" w:themeColor="text1"/>
          <w:spacing w:val="3"/>
        </w:rPr>
        <w:t>r the same lice</w:t>
      </w:r>
      <w:r w:rsidRPr="00D26843">
        <w:rPr>
          <w:rFonts w:eastAsia="Arial"/>
          <w:iCs/>
          <w:color w:val="000000" w:themeColor="text1"/>
          <w:spacing w:val="-1"/>
        </w:rPr>
        <w:t>n</w:t>
      </w:r>
      <w:r w:rsidRPr="00D26843">
        <w:rPr>
          <w:rFonts w:eastAsia="Arial"/>
          <w:iCs/>
          <w:color w:val="000000" w:themeColor="text1"/>
          <w:spacing w:val="3"/>
        </w:rPr>
        <w:t>ce.</w:t>
      </w:r>
    </w:p>
    <w:p w14:paraId="50E4DA64" w14:textId="77777777" w:rsidR="0028210F" w:rsidRPr="00D26843" w:rsidRDefault="0028210F" w:rsidP="0028210F">
      <w:pPr>
        <w:spacing w:before="120" w:after="120"/>
        <w:rPr>
          <w:rFonts w:eastAsia="Arial"/>
          <w:iCs/>
          <w:color w:val="000000" w:themeColor="text1"/>
          <w:spacing w:val="3"/>
        </w:rPr>
      </w:pPr>
    </w:p>
    <w:p w14:paraId="769B12BB" w14:textId="77777777" w:rsidR="0028210F" w:rsidRPr="00D26843" w:rsidRDefault="0028210F" w:rsidP="0028210F">
      <w:pPr>
        <w:spacing w:before="120" w:after="120"/>
        <w:rPr>
          <w:rFonts w:eastAsia="Arial"/>
          <w:iCs/>
          <w:color w:val="000000" w:themeColor="text1"/>
          <w:spacing w:val="3"/>
        </w:rPr>
      </w:pPr>
      <w:r w:rsidRPr="00D26843">
        <w:rPr>
          <w:rFonts w:eastAsia="Arial"/>
          <w:b/>
          <w:bCs/>
          <w:i/>
          <w:iCs/>
          <w:color w:val="000000" w:themeColor="text1"/>
          <w:spacing w:val="3"/>
        </w:rPr>
        <w:t>Disclaimer</w:t>
      </w:r>
    </w:p>
    <w:p w14:paraId="362A790F" w14:textId="77777777" w:rsidR="0028210F" w:rsidRPr="00D26843" w:rsidRDefault="0028210F" w:rsidP="0028210F">
      <w:pPr>
        <w:spacing w:before="120" w:after="120"/>
        <w:rPr>
          <w:rFonts w:eastAsia="Arial"/>
          <w:iCs/>
          <w:color w:val="000000" w:themeColor="text1"/>
          <w:spacing w:val="3"/>
        </w:rPr>
      </w:pPr>
      <w:r w:rsidRPr="00D26843">
        <w:rPr>
          <w:rFonts w:eastAsia="Arial"/>
          <w:iCs/>
          <w:color w:val="000000" w:themeColor="text1"/>
          <w:spacing w:val="3"/>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0795DA94" w14:textId="1673084C" w:rsidR="0028210F" w:rsidRDefault="0028210F" w:rsidP="0028210F">
      <w:r w:rsidRPr="00D26843">
        <w:rPr>
          <w:rFonts w:eastAsia="Arial"/>
          <w:iCs/>
          <w:color w:val="000000" w:themeColor="text1"/>
          <w:spacing w:val="3"/>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1276122" w14:textId="77777777" w:rsidR="0028210F" w:rsidRPr="00D26843" w:rsidRDefault="0028210F" w:rsidP="0028210F">
      <w:pPr>
        <w:spacing w:before="120" w:after="120"/>
        <w:rPr>
          <w:rFonts w:eastAsia="Arial"/>
          <w:iCs/>
          <w:color w:val="000000" w:themeColor="text1"/>
          <w:spacing w:val="3"/>
        </w:rPr>
      </w:pPr>
    </w:p>
    <w:p w14:paraId="0EC658C7" w14:textId="77777777" w:rsidR="0028210F" w:rsidRPr="00D26843" w:rsidRDefault="0028210F" w:rsidP="0028210F">
      <w:pPr>
        <w:spacing w:before="120" w:after="120"/>
        <w:rPr>
          <w:rFonts w:eastAsia="Arial"/>
          <w:b/>
          <w:bCs/>
          <w:i/>
          <w:iCs/>
          <w:color w:val="000000" w:themeColor="text1"/>
          <w:spacing w:val="3"/>
        </w:rPr>
      </w:pPr>
      <w:r w:rsidRPr="00D26843">
        <w:rPr>
          <w:rFonts w:eastAsia="Arial"/>
          <w:b/>
          <w:bCs/>
          <w:i/>
          <w:iCs/>
          <w:color w:val="000000" w:themeColor="text1"/>
          <w:spacing w:val="3"/>
        </w:rPr>
        <w:t>Third party sites</w:t>
      </w:r>
    </w:p>
    <w:p w14:paraId="6A4894D8" w14:textId="77777777" w:rsidR="0028210F" w:rsidRPr="00D26843" w:rsidRDefault="0028210F" w:rsidP="0028210F">
      <w:pPr>
        <w:spacing w:before="120" w:after="120"/>
        <w:rPr>
          <w:rFonts w:eastAsia="Arial"/>
          <w:iCs/>
          <w:color w:val="000000" w:themeColor="text1"/>
          <w:spacing w:val="3"/>
        </w:rPr>
      </w:pPr>
      <w:r w:rsidRPr="00D26843">
        <w:rPr>
          <w:rFonts w:eastAsia="Arial"/>
          <w:iCs/>
          <w:color w:val="000000" w:themeColor="text1"/>
          <w:spacing w:val="3"/>
        </w:rPr>
        <w:t>This resource may contain links to third party websites and resources. DET is not responsible for the condition or content of these sites or resources as they are not under its control.</w:t>
      </w:r>
    </w:p>
    <w:p w14:paraId="35AF2D40" w14:textId="0589C976" w:rsidR="0028210F" w:rsidRDefault="0028210F" w:rsidP="0028210F">
      <w:pPr>
        <w:spacing w:before="120" w:after="120"/>
        <w:rPr>
          <w:rFonts w:eastAsia="Arial"/>
          <w:iCs/>
          <w:color w:val="000000" w:themeColor="text1"/>
          <w:spacing w:val="3"/>
        </w:rPr>
      </w:pPr>
      <w:r w:rsidRPr="00D26843">
        <w:rPr>
          <w:rFonts w:eastAsia="Arial"/>
          <w:iCs/>
          <w:color w:val="000000" w:themeColor="text1"/>
          <w:spacing w:val="3"/>
        </w:rPr>
        <w:t>Third party material linked from this resource is subject to the copyright conditions of the third party. Users will need to consult the copyright notice of the third party sites for conditions of usage.</w:t>
      </w:r>
    </w:p>
    <w:p w14:paraId="1202658C" w14:textId="77777777" w:rsidR="00E50851" w:rsidRDefault="00E50851" w:rsidP="0028210F">
      <w:pPr>
        <w:spacing w:before="120" w:after="120"/>
        <w:rPr>
          <w:rFonts w:eastAsia="Arial"/>
          <w:iCs/>
          <w:color w:val="000000" w:themeColor="text1"/>
          <w:spacing w:val="3"/>
        </w:rPr>
      </w:pPr>
    </w:p>
    <w:p w14:paraId="7EE3D5B0" w14:textId="77777777" w:rsidR="00E50851" w:rsidRDefault="00E50851" w:rsidP="0028210F">
      <w:pPr>
        <w:spacing w:before="120" w:after="120"/>
        <w:rPr>
          <w:rFonts w:eastAsia="Arial"/>
          <w:iCs/>
          <w:color w:val="000000" w:themeColor="text1"/>
          <w:spacing w:val="3"/>
        </w:rPr>
        <w:sectPr w:rsidR="00E50851" w:rsidSect="0044000E">
          <w:headerReference w:type="default" r:id="rId12"/>
          <w:footerReference w:type="default" r:id="rId13"/>
          <w:pgSz w:w="11906" w:h="16838" w:code="9"/>
          <w:pgMar w:top="1440" w:right="1440" w:bottom="1440" w:left="1440" w:header="709" w:footer="709" w:gutter="0"/>
          <w:pgNumType w:fmt="lowerRoman"/>
          <w:cols w:space="708"/>
          <w:vAlign w:val="bottom"/>
          <w:docGrid w:linePitch="360"/>
        </w:sectPr>
      </w:pPr>
    </w:p>
    <w:sdt>
      <w:sdtPr>
        <w:rPr>
          <w:rFonts w:ascii="Microsoft Sans Serif" w:hAnsi="Microsoft Sans Serif" w:cs="Arial"/>
          <w:b/>
          <w:bCs/>
          <w:sz w:val="36"/>
          <w:szCs w:val="36"/>
        </w:rPr>
        <w:id w:val="1500622133"/>
        <w:docPartObj>
          <w:docPartGallery w:val="Cover Pages"/>
          <w:docPartUnique/>
        </w:docPartObj>
      </w:sdtPr>
      <w:sdtEndPr>
        <w:rPr>
          <w:rFonts w:cs="Times New Roman"/>
          <w:sz w:val="28"/>
          <w:szCs w:val="24"/>
        </w:rPr>
      </w:sdtEndPr>
      <w:sdtContent>
        <w:bookmarkStart w:id="0" w:name="_Toc79155988" w:displacedByCustomXml="prev"/>
        <w:bookmarkStart w:id="1" w:name="_Toc79155813" w:displacedByCustomXml="prev"/>
        <w:p w14:paraId="13E2B9B2" w14:textId="2F2EA746" w:rsidR="00E50851" w:rsidRPr="00E50851" w:rsidRDefault="00E50851" w:rsidP="00E50851">
          <w:pPr>
            <w:jc w:val="center"/>
            <w:rPr>
              <w:sz w:val="8"/>
              <w:szCs w:val="8"/>
            </w:rPr>
          </w:pPr>
        </w:p>
        <w:p w14:paraId="0B9CF210" w14:textId="459C2FCE" w:rsidR="0028210F" w:rsidRPr="00432056" w:rsidRDefault="0028210F" w:rsidP="00E50851">
          <w:pPr>
            <w:pStyle w:val="Headingfrontpages"/>
            <w:spacing w:before="0" w:after="0"/>
          </w:pPr>
          <w:r w:rsidRPr="006E66E4">
            <w:t>Table of contents</w:t>
          </w:r>
        </w:p>
      </w:sdtContent>
    </w:sdt>
    <w:bookmarkEnd w:id="0" w:displacedByCustomXml="prev"/>
    <w:bookmarkEnd w:id="1" w:displacedByCustomXml="prev"/>
    <w:bookmarkStart w:id="2" w:name="_Toc479776866" w:displacedByCustomXml="prev"/>
    <w:bookmarkStart w:id="3" w:name="_Toc479777333" w:displacedByCustomXml="prev"/>
    <w:bookmarkStart w:id="4" w:name="_Toc74134246" w:displacedByCustomXml="prev"/>
    <w:bookmarkStart w:id="5" w:name="_Toc74135952" w:displacedByCustomXml="prev"/>
    <w:bookmarkStart w:id="6" w:name="_Toc74136164" w:displacedByCustomXml="prev"/>
    <w:bookmarkEnd w:id="6"/>
    <w:bookmarkEnd w:id="5"/>
    <w:bookmarkEnd w:id="4"/>
    <w:bookmarkEnd w:id="3"/>
    <w:bookmarkEnd w:id="2"/>
    <w:p w14:paraId="215EFCE0" w14:textId="160A7A47" w:rsidR="002D5197" w:rsidRDefault="0028210F">
      <w:pPr>
        <w:pStyle w:val="TOC1"/>
        <w:rPr>
          <w:rFonts w:asciiTheme="minorHAnsi" w:eastAsiaTheme="minorEastAsia" w:hAnsiTheme="minorHAnsi" w:cstheme="minorBidi"/>
          <w:noProof/>
          <w:szCs w:val="22"/>
          <w:lang w:val="en-AU" w:eastAsia="en-AU"/>
        </w:rPr>
      </w:pPr>
      <w:r w:rsidRPr="00D373AE">
        <w:rPr>
          <w:rFonts w:ascii="Microsoft Sans Serif" w:hAnsi="Microsoft Sans Serif"/>
          <w:b/>
          <w:bCs/>
          <w:color w:val="1F3864"/>
          <w:sz w:val="28"/>
        </w:rPr>
        <w:fldChar w:fldCharType="begin"/>
      </w:r>
      <w:r w:rsidRPr="00D373AE">
        <w:instrText xml:space="preserve"> TOC \t "Heading 1,1,SectionA_subsection,2,SectionB_Subsection,2,SectionB_Subsection2,3" </w:instrText>
      </w:r>
      <w:r w:rsidRPr="00D373AE">
        <w:rPr>
          <w:rFonts w:ascii="Microsoft Sans Serif" w:hAnsi="Microsoft Sans Serif"/>
          <w:b/>
          <w:bCs/>
          <w:color w:val="1F3864"/>
          <w:sz w:val="28"/>
        </w:rPr>
        <w:fldChar w:fldCharType="separate"/>
      </w:r>
      <w:r w:rsidR="002D5197">
        <w:rPr>
          <w:noProof/>
        </w:rPr>
        <w:t>Section A: Applicant and course classification information</w:t>
      </w:r>
      <w:r w:rsidR="002D5197">
        <w:rPr>
          <w:noProof/>
        </w:rPr>
        <w:tab/>
      </w:r>
      <w:r w:rsidR="002D5197">
        <w:rPr>
          <w:noProof/>
        </w:rPr>
        <w:fldChar w:fldCharType="begin"/>
      </w:r>
      <w:r w:rsidR="002D5197">
        <w:rPr>
          <w:noProof/>
        </w:rPr>
        <w:instrText xml:space="preserve"> PAGEREF _Toc103624514 \h </w:instrText>
      </w:r>
      <w:r w:rsidR="002D5197">
        <w:rPr>
          <w:noProof/>
        </w:rPr>
      </w:r>
      <w:r w:rsidR="002D5197">
        <w:rPr>
          <w:noProof/>
        </w:rPr>
        <w:fldChar w:fldCharType="separate"/>
      </w:r>
      <w:r w:rsidR="002D5197">
        <w:rPr>
          <w:noProof/>
        </w:rPr>
        <w:t>4</w:t>
      </w:r>
      <w:r w:rsidR="002D5197">
        <w:rPr>
          <w:noProof/>
        </w:rPr>
        <w:fldChar w:fldCharType="end"/>
      </w:r>
    </w:p>
    <w:p w14:paraId="5417E827" w14:textId="1515AADE" w:rsidR="002D5197" w:rsidRDefault="002D5197">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Person in respect of whom the course is being accredited</w:t>
      </w:r>
      <w:r>
        <w:rPr>
          <w:noProof/>
        </w:rPr>
        <w:tab/>
      </w:r>
      <w:r>
        <w:rPr>
          <w:noProof/>
        </w:rPr>
        <w:fldChar w:fldCharType="begin"/>
      </w:r>
      <w:r>
        <w:rPr>
          <w:noProof/>
        </w:rPr>
        <w:instrText xml:space="preserve"> PAGEREF _Toc103624515 \h </w:instrText>
      </w:r>
      <w:r>
        <w:rPr>
          <w:noProof/>
        </w:rPr>
      </w:r>
      <w:r>
        <w:rPr>
          <w:noProof/>
        </w:rPr>
        <w:fldChar w:fldCharType="separate"/>
      </w:r>
      <w:r>
        <w:rPr>
          <w:noProof/>
        </w:rPr>
        <w:t>4</w:t>
      </w:r>
      <w:r>
        <w:rPr>
          <w:noProof/>
        </w:rPr>
        <w:fldChar w:fldCharType="end"/>
      </w:r>
    </w:p>
    <w:p w14:paraId="343204A6" w14:textId="0E5DF9E8" w:rsidR="002D5197" w:rsidRDefault="002D5197">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_Toc103624516 \h </w:instrText>
      </w:r>
      <w:r>
        <w:rPr>
          <w:noProof/>
        </w:rPr>
      </w:r>
      <w:r>
        <w:rPr>
          <w:noProof/>
        </w:rPr>
        <w:fldChar w:fldCharType="separate"/>
      </w:r>
      <w:r>
        <w:rPr>
          <w:noProof/>
        </w:rPr>
        <w:t>4</w:t>
      </w:r>
      <w:r>
        <w:rPr>
          <w:noProof/>
        </w:rPr>
        <w:fldChar w:fldCharType="end"/>
      </w:r>
    </w:p>
    <w:p w14:paraId="7DE91E08" w14:textId="448DA7AF" w:rsidR="002D5197" w:rsidRDefault="002D5197">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_Toc103624517 \h </w:instrText>
      </w:r>
      <w:r>
        <w:rPr>
          <w:noProof/>
        </w:rPr>
      </w:r>
      <w:r>
        <w:rPr>
          <w:noProof/>
        </w:rPr>
        <w:fldChar w:fldCharType="separate"/>
      </w:r>
      <w:r>
        <w:rPr>
          <w:noProof/>
        </w:rPr>
        <w:t>4</w:t>
      </w:r>
      <w:r>
        <w:rPr>
          <w:noProof/>
        </w:rPr>
        <w:fldChar w:fldCharType="end"/>
      </w:r>
    </w:p>
    <w:p w14:paraId="73320EEA" w14:textId="455A5977" w:rsidR="002D5197" w:rsidRDefault="002D5197">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_Toc103624518 \h </w:instrText>
      </w:r>
      <w:r>
        <w:rPr>
          <w:noProof/>
        </w:rPr>
      </w:r>
      <w:r>
        <w:rPr>
          <w:noProof/>
        </w:rPr>
        <w:fldChar w:fldCharType="separate"/>
      </w:r>
      <w:r>
        <w:rPr>
          <w:noProof/>
        </w:rPr>
        <w:t>4</w:t>
      </w:r>
      <w:r>
        <w:rPr>
          <w:noProof/>
        </w:rPr>
        <w:fldChar w:fldCharType="end"/>
      </w:r>
    </w:p>
    <w:p w14:paraId="62732A81" w14:textId="3EAF72D8" w:rsidR="002D5197" w:rsidRDefault="002D5197">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_Toc103624519 \h </w:instrText>
      </w:r>
      <w:r>
        <w:rPr>
          <w:noProof/>
        </w:rPr>
      </w:r>
      <w:r>
        <w:rPr>
          <w:noProof/>
        </w:rPr>
        <w:fldChar w:fldCharType="separate"/>
      </w:r>
      <w:r>
        <w:rPr>
          <w:noProof/>
        </w:rPr>
        <w:t>5</w:t>
      </w:r>
      <w:r>
        <w:rPr>
          <w:noProof/>
        </w:rPr>
        <w:fldChar w:fldCharType="end"/>
      </w:r>
    </w:p>
    <w:p w14:paraId="77328EAC" w14:textId="7CFBB3FD" w:rsidR="002D5197" w:rsidRDefault="002D5197">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_Toc103624520 \h </w:instrText>
      </w:r>
      <w:r>
        <w:rPr>
          <w:noProof/>
        </w:rPr>
      </w:r>
      <w:r>
        <w:rPr>
          <w:noProof/>
        </w:rPr>
        <w:fldChar w:fldCharType="separate"/>
      </w:r>
      <w:r>
        <w:rPr>
          <w:noProof/>
        </w:rPr>
        <w:t>5</w:t>
      </w:r>
      <w:r>
        <w:rPr>
          <w:noProof/>
        </w:rPr>
        <w:fldChar w:fldCharType="end"/>
      </w:r>
    </w:p>
    <w:p w14:paraId="69984754" w14:textId="76C12ED3" w:rsidR="002D5197" w:rsidRDefault="002D5197">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_Toc103624521 \h </w:instrText>
      </w:r>
      <w:r>
        <w:rPr>
          <w:noProof/>
        </w:rPr>
      </w:r>
      <w:r>
        <w:rPr>
          <w:noProof/>
        </w:rPr>
        <w:fldChar w:fldCharType="separate"/>
      </w:r>
      <w:r>
        <w:rPr>
          <w:noProof/>
        </w:rPr>
        <w:t>5</w:t>
      </w:r>
      <w:r>
        <w:rPr>
          <w:noProof/>
        </w:rPr>
        <w:fldChar w:fldCharType="end"/>
      </w:r>
    </w:p>
    <w:p w14:paraId="11F5629F" w14:textId="42FF0D4A" w:rsidR="002D5197" w:rsidRDefault="002D5197">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_Toc103624522 \h </w:instrText>
      </w:r>
      <w:r>
        <w:rPr>
          <w:noProof/>
        </w:rPr>
      </w:r>
      <w:r>
        <w:rPr>
          <w:noProof/>
        </w:rPr>
        <w:fldChar w:fldCharType="separate"/>
      </w:r>
      <w:r>
        <w:rPr>
          <w:noProof/>
        </w:rPr>
        <w:t>5</w:t>
      </w:r>
      <w:r>
        <w:rPr>
          <w:noProof/>
        </w:rPr>
        <w:fldChar w:fldCharType="end"/>
      </w:r>
    </w:p>
    <w:p w14:paraId="0DD51FF8" w14:textId="007DEE96" w:rsidR="002D5197" w:rsidRDefault="002D5197">
      <w:pPr>
        <w:pStyle w:val="TOC1"/>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_Toc103624523 \h </w:instrText>
      </w:r>
      <w:r>
        <w:rPr>
          <w:noProof/>
        </w:rPr>
      </w:r>
      <w:r>
        <w:rPr>
          <w:noProof/>
        </w:rPr>
        <w:fldChar w:fldCharType="separate"/>
      </w:r>
      <w:r>
        <w:rPr>
          <w:noProof/>
        </w:rPr>
        <w:t>6</w:t>
      </w:r>
      <w:r>
        <w:rPr>
          <w:noProof/>
        </w:rPr>
        <w:fldChar w:fldCharType="end"/>
      </w:r>
    </w:p>
    <w:p w14:paraId="44381508" w14:textId="2814055C" w:rsidR="002D5197" w:rsidRDefault="002D5197">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_Toc103624524 \h </w:instrText>
      </w:r>
      <w:r>
        <w:rPr>
          <w:noProof/>
        </w:rPr>
      </w:r>
      <w:r>
        <w:rPr>
          <w:noProof/>
        </w:rPr>
        <w:fldChar w:fldCharType="separate"/>
      </w:r>
      <w:r>
        <w:rPr>
          <w:noProof/>
        </w:rPr>
        <w:t>6</w:t>
      </w:r>
      <w:r>
        <w:rPr>
          <w:noProof/>
        </w:rPr>
        <w:fldChar w:fldCharType="end"/>
      </w:r>
    </w:p>
    <w:p w14:paraId="368BA6A1" w14:textId="44B9C90C"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_Toc103624525 \h </w:instrText>
      </w:r>
      <w:r>
        <w:rPr>
          <w:noProof/>
        </w:rPr>
      </w:r>
      <w:r>
        <w:rPr>
          <w:noProof/>
        </w:rPr>
        <w:fldChar w:fldCharType="separate"/>
      </w:r>
      <w:r>
        <w:rPr>
          <w:noProof/>
        </w:rPr>
        <w:t>6</w:t>
      </w:r>
      <w:r>
        <w:rPr>
          <w:noProof/>
        </w:rPr>
        <w:fldChar w:fldCharType="end"/>
      </w:r>
    </w:p>
    <w:p w14:paraId="26843659" w14:textId="0D6748C5"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_Toc103624526 \h </w:instrText>
      </w:r>
      <w:r>
        <w:rPr>
          <w:noProof/>
        </w:rPr>
      </w:r>
      <w:r>
        <w:rPr>
          <w:noProof/>
        </w:rPr>
        <w:fldChar w:fldCharType="separate"/>
      </w:r>
      <w:r>
        <w:rPr>
          <w:noProof/>
        </w:rPr>
        <w:t>6</w:t>
      </w:r>
      <w:r>
        <w:rPr>
          <w:noProof/>
        </w:rPr>
        <w:fldChar w:fldCharType="end"/>
      </w:r>
    </w:p>
    <w:p w14:paraId="3925AF3A" w14:textId="1E6749B1" w:rsidR="002D5197" w:rsidRDefault="002D5197">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_Toc103624527 \h </w:instrText>
      </w:r>
      <w:r>
        <w:rPr>
          <w:noProof/>
        </w:rPr>
      </w:r>
      <w:r>
        <w:rPr>
          <w:noProof/>
        </w:rPr>
        <w:fldChar w:fldCharType="separate"/>
      </w:r>
      <w:r>
        <w:rPr>
          <w:noProof/>
        </w:rPr>
        <w:t>6</w:t>
      </w:r>
      <w:r>
        <w:rPr>
          <w:noProof/>
        </w:rPr>
        <w:fldChar w:fldCharType="end"/>
      </w:r>
    </w:p>
    <w:p w14:paraId="75C01511" w14:textId="50837A16"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Outcome(s) of the course</w:t>
      </w:r>
      <w:r>
        <w:rPr>
          <w:noProof/>
        </w:rPr>
        <w:tab/>
      </w:r>
      <w:r>
        <w:rPr>
          <w:noProof/>
        </w:rPr>
        <w:fldChar w:fldCharType="begin"/>
      </w:r>
      <w:r>
        <w:rPr>
          <w:noProof/>
        </w:rPr>
        <w:instrText xml:space="preserve"> PAGEREF _Toc103624528 \h </w:instrText>
      </w:r>
      <w:r>
        <w:rPr>
          <w:noProof/>
        </w:rPr>
      </w:r>
      <w:r>
        <w:rPr>
          <w:noProof/>
        </w:rPr>
        <w:fldChar w:fldCharType="separate"/>
      </w:r>
      <w:r>
        <w:rPr>
          <w:noProof/>
        </w:rPr>
        <w:t>6</w:t>
      </w:r>
      <w:r>
        <w:rPr>
          <w:noProof/>
        </w:rPr>
        <w:fldChar w:fldCharType="end"/>
      </w:r>
    </w:p>
    <w:p w14:paraId="64F51493" w14:textId="4D7A05CB"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2.2</w:t>
      </w:r>
      <w:r>
        <w:rPr>
          <w:rFonts w:asciiTheme="minorHAnsi" w:eastAsiaTheme="minorEastAsia" w:hAnsiTheme="minorHAnsi" w:cstheme="minorBidi"/>
          <w:noProof/>
          <w:szCs w:val="22"/>
          <w:lang w:val="en-AU" w:eastAsia="en-AU"/>
        </w:rPr>
        <w:tab/>
      </w:r>
      <w:r>
        <w:rPr>
          <w:noProof/>
        </w:rPr>
        <w:t>Course description</w:t>
      </w:r>
      <w:r>
        <w:rPr>
          <w:noProof/>
        </w:rPr>
        <w:tab/>
      </w:r>
      <w:r>
        <w:rPr>
          <w:noProof/>
        </w:rPr>
        <w:fldChar w:fldCharType="begin"/>
      </w:r>
      <w:r>
        <w:rPr>
          <w:noProof/>
        </w:rPr>
        <w:instrText xml:space="preserve"> PAGEREF _Toc103624529 \h </w:instrText>
      </w:r>
      <w:r>
        <w:rPr>
          <w:noProof/>
        </w:rPr>
      </w:r>
      <w:r>
        <w:rPr>
          <w:noProof/>
        </w:rPr>
        <w:fldChar w:fldCharType="separate"/>
      </w:r>
      <w:r>
        <w:rPr>
          <w:noProof/>
        </w:rPr>
        <w:t>6</w:t>
      </w:r>
      <w:r>
        <w:rPr>
          <w:noProof/>
        </w:rPr>
        <w:fldChar w:fldCharType="end"/>
      </w:r>
    </w:p>
    <w:p w14:paraId="29233EB8" w14:textId="644A01F6" w:rsidR="002D5197" w:rsidRDefault="002D5197">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_Toc103624530 \h </w:instrText>
      </w:r>
      <w:r>
        <w:rPr>
          <w:noProof/>
        </w:rPr>
      </w:r>
      <w:r>
        <w:rPr>
          <w:noProof/>
        </w:rPr>
        <w:fldChar w:fldCharType="separate"/>
      </w:r>
      <w:r>
        <w:rPr>
          <w:noProof/>
        </w:rPr>
        <w:t>7</w:t>
      </w:r>
      <w:r>
        <w:rPr>
          <w:noProof/>
        </w:rPr>
        <w:fldChar w:fldCharType="end"/>
      </w:r>
    </w:p>
    <w:p w14:paraId="4829E139" w14:textId="49CA5705"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 education, legislative, enterprise or community needs</w:t>
      </w:r>
      <w:r>
        <w:rPr>
          <w:noProof/>
        </w:rPr>
        <w:tab/>
      </w:r>
      <w:r>
        <w:rPr>
          <w:noProof/>
        </w:rPr>
        <w:fldChar w:fldCharType="begin"/>
      </w:r>
      <w:r>
        <w:rPr>
          <w:noProof/>
        </w:rPr>
        <w:instrText xml:space="preserve"> PAGEREF _Toc103624531 \h </w:instrText>
      </w:r>
      <w:r>
        <w:rPr>
          <w:noProof/>
        </w:rPr>
      </w:r>
      <w:r>
        <w:rPr>
          <w:noProof/>
        </w:rPr>
        <w:fldChar w:fldCharType="separate"/>
      </w:r>
      <w:r>
        <w:rPr>
          <w:noProof/>
        </w:rPr>
        <w:t>7</w:t>
      </w:r>
      <w:r>
        <w:rPr>
          <w:noProof/>
        </w:rPr>
        <w:fldChar w:fldCharType="end"/>
      </w:r>
    </w:p>
    <w:p w14:paraId="09B23362" w14:textId="2E3521AF"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_Toc103624532 \h </w:instrText>
      </w:r>
      <w:r>
        <w:rPr>
          <w:noProof/>
        </w:rPr>
      </w:r>
      <w:r>
        <w:rPr>
          <w:noProof/>
        </w:rPr>
        <w:fldChar w:fldCharType="separate"/>
      </w:r>
      <w:r>
        <w:rPr>
          <w:noProof/>
        </w:rPr>
        <w:t>11</w:t>
      </w:r>
      <w:r>
        <w:rPr>
          <w:noProof/>
        </w:rPr>
        <w:fldChar w:fldCharType="end"/>
      </w:r>
    </w:p>
    <w:p w14:paraId="1469EAC1" w14:textId="33734852" w:rsidR="002D5197" w:rsidRDefault="002D5197">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_Toc103624533 \h </w:instrText>
      </w:r>
      <w:r>
        <w:rPr>
          <w:noProof/>
        </w:rPr>
      </w:r>
      <w:r>
        <w:rPr>
          <w:noProof/>
        </w:rPr>
        <w:fldChar w:fldCharType="separate"/>
      </w:r>
      <w:r>
        <w:rPr>
          <w:noProof/>
        </w:rPr>
        <w:t>12</w:t>
      </w:r>
      <w:r>
        <w:rPr>
          <w:noProof/>
        </w:rPr>
        <w:fldChar w:fldCharType="end"/>
      </w:r>
    </w:p>
    <w:p w14:paraId="3E5FB1C6" w14:textId="69ADBD65"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_Toc103624534 \h </w:instrText>
      </w:r>
      <w:r>
        <w:rPr>
          <w:noProof/>
        </w:rPr>
      </w:r>
      <w:r>
        <w:rPr>
          <w:noProof/>
        </w:rPr>
        <w:fldChar w:fldCharType="separate"/>
      </w:r>
      <w:r>
        <w:rPr>
          <w:noProof/>
        </w:rPr>
        <w:t>12</w:t>
      </w:r>
      <w:r>
        <w:rPr>
          <w:noProof/>
        </w:rPr>
        <w:fldChar w:fldCharType="end"/>
      </w:r>
    </w:p>
    <w:p w14:paraId="7833D397" w14:textId="5E5AAA3F"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Foundation skills</w:t>
      </w:r>
      <w:r>
        <w:rPr>
          <w:noProof/>
        </w:rPr>
        <w:tab/>
      </w:r>
      <w:r>
        <w:rPr>
          <w:noProof/>
        </w:rPr>
        <w:fldChar w:fldCharType="begin"/>
      </w:r>
      <w:r>
        <w:rPr>
          <w:noProof/>
        </w:rPr>
        <w:instrText xml:space="preserve"> PAGEREF _Toc103624535 \h </w:instrText>
      </w:r>
      <w:r>
        <w:rPr>
          <w:noProof/>
        </w:rPr>
      </w:r>
      <w:r>
        <w:rPr>
          <w:noProof/>
        </w:rPr>
        <w:fldChar w:fldCharType="separate"/>
      </w:r>
      <w:r>
        <w:rPr>
          <w:noProof/>
        </w:rPr>
        <w:t>12</w:t>
      </w:r>
      <w:r>
        <w:rPr>
          <w:noProof/>
        </w:rPr>
        <w:fldChar w:fldCharType="end"/>
      </w:r>
    </w:p>
    <w:p w14:paraId="77493FD0" w14:textId="09B51BC2"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_Toc103624536 \h </w:instrText>
      </w:r>
      <w:r>
        <w:rPr>
          <w:noProof/>
        </w:rPr>
      </w:r>
      <w:r>
        <w:rPr>
          <w:noProof/>
        </w:rPr>
        <w:fldChar w:fldCharType="separate"/>
      </w:r>
      <w:r>
        <w:rPr>
          <w:noProof/>
        </w:rPr>
        <w:t>12</w:t>
      </w:r>
      <w:r>
        <w:rPr>
          <w:noProof/>
        </w:rPr>
        <w:fldChar w:fldCharType="end"/>
      </w:r>
    </w:p>
    <w:p w14:paraId="5022076C" w14:textId="2CE389A2"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Licensing/regulatory requirements</w:t>
      </w:r>
      <w:r>
        <w:rPr>
          <w:noProof/>
        </w:rPr>
        <w:tab/>
      </w:r>
      <w:r>
        <w:rPr>
          <w:noProof/>
        </w:rPr>
        <w:fldChar w:fldCharType="begin"/>
      </w:r>
      <w:r>
        <w:rPr>
          <w:noProof/>
        </w:rPr>
        <w:instrText xml:space="preserve"> PAGEREF _Toc103624537 \h </w:instrText>
      </w:r>
      <w:r>
        <w:rPr>
          <w:noProof/>
        </w:rPr>
      </w:r>
      <w:r>
        <w:rPr>
          <w:noProof/>
        </w:rPr>
        <w:fldChar w:fldCharType="separate"/>
      </w:r>
      <w:r>
        <w:rPr>
          <w:noProof/>
        </w:rPr>
        <w:t>12</w:t>
      </w:r>
      <w:r>
        <w:rPr>
          <w:noProof/>
        </w:rPr>
        <w:fldChar w:fldCharType="end"/>
      </w:r>
    </w:p>
    <w:p w14:paraId="448393A0" w14:textId="028C5EA9" w:rsidR="002D5197" w:rsidRDefault="002D5197">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_Toc103624538 \h </w:instrText>
      </w:r>
      <w:r>
        <w:rPr>
          <w:noProof/>
        </w:rPr>
      </w:r>
      <w:r>
        <w:rPr>
          <w:noProof/>
        </w:rPr>
        <w:fldChar w:fldCharType="separate"/>
      </w:r>
      <w:r>
        <w:rPr>
          <w:noProof/>
        </w:rPr>
        <w:t>13</w:t>
      </w:r>
      <w:r>
        <w:rPr>
          <w:noProof/>
        </w:rPr>
        <w:fldChar w:fldCharType="end"/>
      </w:r>
    </w:p>
    <w:p w14:paraId="06C32F5B" w14:textId="574696E1"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_Toc103624539 \h </w:instrText>
      </w:r>
      <w:r>
        <w:rPr>
          <w:noProof/>
        </w:rPr>
      </w:r>
      <w:r>
        <w:rPr>
          <w:noProof/>
        </w:rPr>
        <w:fldChar w:fldCharType="separate"/>
      </w:r>
      <w:r>
        <w:rPr>
          <w:noProof/>
        </w:rPr>
        <w:t>13</w:t>
      </w:r>
      <w:r>
        <w:rPr>
          <w:noProof/>
        </w:rPr>
        <w:fldChar w:fldCharType="end"/>
      </w:r>
    </w:p>
    <w:p w14:paraId="08FC5B74" w14:textId="54E782CB"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_Toc103624540 \h </w:instrText>
      </w:r>
      <w:r>
        <w:rPr>
          <w:noProof/>
        </w:rPr>
      </w:r>
      <w:r>
        <w:rPr>
          <w:noProof/>
        </w:rPr>
        <w:fldChar w:fldCharType="separate"/>
      </w:r>
      <w:r>
        <w:rPr>
          <w:noProof/>
        </w:rPr>
        <w:t>13</w:t>
      </w:r>
      <w:r>
        <w:rPr>
          <w:noProof/>
        </w:rPr>
        <w:fldChar w:fldCharType="end"/>
      </w:r>
    </w:p>
    <w:p w14:paraId="544D16C1" w14:textId="45DEDE14" w:rsidR="002D5197" w:rsidRDefault="002D5197">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_Toc103624541 \h </w:instrText>
      </w:r>
      <w:r>
        <w:rPr>
          <w:noProof/>
        </w:rPr>
      </w:r>
      <w:r>
        <w:rPr>
          <w:noProof/>
        </w:rPr>
        <w:fldChar w:fldCharType="separate"/>
      </w:r>
      <w:r>
        <w:rPr>
          <w:noProof/>
        </w:rPr>
        <w:t>14</w:t>
      </w:r>
      <w:r>
        <w:rPr>
          <w:noProof/>
        </w:rPr>
        <w:fldChar w:fldCharType="end"/>
      </w:r>
    </w:p>
    <w:p w14:paraId="2C6ECAFF" w14:textId="3541251D"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_Toc103624542 \h </w:instrText>
      </w:r>
      <w:r>
        <w:rPr>
          <w:noProof/>
        </w:rPr>
      </w:r>
      <w:r>
        <w:rPr>
          <w:noProof/>
        </w:rPr>
        <w:fldChar w:fldCharType="separate"/>
      </w:r>
      <w:r>
        <w:rPr>
          <w:noProof/>
        </w:rPr>
        <w:t>14</w:t>
      </w:r>
      <w:r>
        <w:rPr>
          <w:noProof/>
        </w:rPr>
        <w:fldChar w:fldCharType="end"/>
      </w:r>
    </w:p>
    <w:p w14:paraId="316E6D28" w14:textId="1AD8575B"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_Toc103624543 \h </w:instrText>
      </w:r>
      <w:r>
        <w:rPr>
          <w:noProof/>
        </w:rPr>
      </w:r>
      <w:r>
        <w:rPr>
          <w:noProof/>
        </w:rPr>
        <w:fldChar w:fldCharType="separate"/>
      </w:r>
      <w:r>
        <w:rPr>
          <w:noProof/>
        </w:rPr>
        <w:t>14</w:t>
      </w:r>
      <w:r>
        <w:rPr>
          <w:noProof/>
        </w:rPr>
        <w:fldChar w:fldCharType="end"/>
      </w:r>
    </w:p>
    <w:p w14:paraId="745E6D2C" w14:textId="096AFE1A" w:rsidR="002D5197" w:rsidRDefault="002D5197">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_Toc103624544 \h </w:instrText>
      </w:r>
      <w:r>
        <w:rPr>
          <w:noProof/>
        </w:rPr>
      </w:r>
      <w:r>
        <w:rPr>
          <w:noProof/>
        </w:rPr>
        <w:fldChar w:fldCharType="separate"/>
      </w:r>
      <w:r>
        <w:rPr>
          <w:noProof/>
        </w:rPr>
        <w:t>15</w:t>
      </w:r>
      <w:r>
        <w:rPr>
          <w:noProof/>
        </w:rPr>
        <w:fldChar w:fldCharType="end"/>
      </w:r>
    </w:p>
    <w:p w14:paraId="658F226D" w14:textId="5F4C5849"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_Toc103624545 \h </w:instrText>
      </w:r>
      <w:r>
        <w:rPr>
          <w:noProof/>
        </w:rPr>
      </w:r>
      <w:r>
        <w:rPr>
          <w:noProof/>
        </w:rPr>
        <w:fldChar w:fldCharType="separate"/>
      </w:r>
      <w:r>
        <w:rPr>
          <w:noProof/>
        </w:rPr>
        <w:t>15</w:t>
      </w:r>
      <w:r>
        <w:rPr>
          <w:noProof/>
        </w:rPr>
        <w:fldChar w:fldCharType="end"/>
      </w:r>
    </w:p>
    <w:p w14:paraId="3F2889BD" w14:textId="32FCD69C" w:rsidR="002D5197" w:rsidRDefault="002D5197">
      <w:pPr>
        <w:pStyle w:val="TOC3"/>
        <w:tabs>
          <w:tab w:val="left" w:pos="1100"/>
          <w:tab w:val="right" w:leader="dot" w:pos="9016"/>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_Toc103624546 \h </w:instrText>
      </w:r>
      <w:r>
        <w:rPr>
          <w:noProof/>
        </w:rPr>
      </w:r>
      <w:r>
        <w:rPr>
          <w:noProof/>
        </w:rPr>
        <w:fldChar w:fldCharType="separate"/>
      </w:r>
      <w:r>
        <w:rPr>
          <w:noProof/>
        </w:rPr>
        <w:t>16</w:t>
      </w:r>
      <w:r>
        <w:rPr>
          <w:noProof/>
        </w:rPr>
        <w:fldChar w:fldCharType="end"/>
      </w:r>
    </w:p>
    <w:p w14:paraId="1138DED8" w14:textId="52B2172B" w:rsidR="002D5197" w:rsidRDefault="002D5197">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_Toc103624547 \h </w:instrText>
      </w:r>
      <w:r>
        <w:rPr>
          <w:noProof/>
        </w:rPr>
      </w:r>
      <w:r>
        <w:rPr>
          <w:noProof/>
        </w:rPr>
        <w:fldChar w:fldCharType="separate"/>
      </w:r>
      <w:r>
        <w:rPr>
          <w:noProof/>
        </w:rPr>
        <w:t>16</w:t>
      </w:r>
      <w:r>
        <w:rPr>
          <w:noProof/>
        </w:rPr>
        <w:fldChar w:fldCharType="end"/>
      </w:r>
    </w:p>
    <w:p w14:paraId="4DC9CD60" w14:textId="21A4E6C1" w:rsidR="002D5197" w:rsidRDefault="002D5197">
      <w:pPr>
        <w:pStyle w:val="TOC2"/>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_Toc103624548 \h </w:instrText>
      </w:r>
      <w:r>
        <w:rPr>
          <w:noProof/>
        </w:rPr>
      </w:r>
      <w:r>
        <w:rPr>
          <w:noProof/>
        </w:rPr>
        <w:fldChar w:fldCharType="separate"/>
      </w:r>
      <w:r>
        <w:rPr>
          <w:noProof/>
        </w:rPr>
        <w:t>17</w:t>
      </w:r>
      <w:r>
        <w:rPr>
          <w:noProof/>
        </w:rPr>
        <w:fldChar w:fldCharType="end"/>
      </w:r>
    </w:p>
    <w:p w14:paraId="51D8AB99" w14:textId="01F2D480" w:rsidR="002D5197" w:rsidRDefault="002D5197">
      <w:pPr>
        <w:pStyle w:val="TOC1"/>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_Toc103624549 \h </w:instrText>
      </w:r>
      <w:r>
        <w:rPr>
          <w:noProof/>
        </w:rPr>
      </w:r>
      <w:r>
        <w:rPr>
          <w:noProof/>
        </w:rPr>
        <w:fldChar w:fldCharType="separate"/>
      </w:r>
      <w:r>
        <w:rPr>
          <w:noProof/>
        </w:rPr>
        <w:t>18</w:t>
      </w:r>
      <w:r>
        <w:rPr>
          <w:noProof/>
        </w:rPr>
        <w:fldChar w:fldCharType="end"/>
      </w:r>
    </w:p>
    <w:p w14:paraId="003BF09E" w14:textId="61E18F59" w:rsidR="002D5197" w:rsidRDefault="002D5197">
      <w:pPr>
        <w:pStyle w:val="TOC1"/>
        <w:rPr>
          <w:rFonts w:asciiTheme="minorHAnsi" w:eastAsiaTheme="minorEastAsia" w:hAnsiTheme="minorHAnsi" w:cstheme="minorBidi"/>
          <w:noProof/>
          <w:szCs w:val="22"/>
          <w:lang w:val="en-AU" w:eastAsia="en-AU"/>
        </w:rPr>
      </w:pPr>
      <w:r>
        <w:rPr>
          <w:noProof/>
        </w:rPr>
        <w:t>Table of contents</w:t>
      </w:r>
      <w:r>
        <w:rPr>
          <w:noProof/>
        </w:rPr>
        <w:tab/>
      </w:r>
      <w:r>
        <w:rPr>
          <w:noProof/>
        </w:rPr>
        <w:fldChar w:fldCharType="begin"/>
      </w:r>
      <w:r>
        <w:rPr>
          <w:noProof/>
        </w:rPr>
        <w:instrText xml:space="preserve"> PAGEREF _Toc103624550 \h </w:instrText>
      </w:r>
      <w:r>
        <w:rPr>
          <w:noProof/>
        </w:rPr>
      </w:r>
      <w:r>
        <w:rPr>
          <w:noProof/>
        </w:rPr>
        <w:fldChar w:fldCharType="separate"/>
      </w:r>
      <w:r>
        <w:rPr>
          <w:noProof/>
        </w:rPr>
        <w:t>18</w:t>
      </w:r>
      <w:r>
        <w:rPr>
          <w:noProof/>
        </w:rPr>
        <w:fldChar w:fldCharType="end"/>
      </w:r>
    </w:p>
    <w:p w14:paraId="5546C9B1" w14:textId="168A7D52" w:rsidR="0028210F" w:rsidRDefault="0028210F" w:rsidP="0028210F">
      <w:pPr>
        <w:sectPr w:rsidR="0028210F" w:rsidSect="00E50851">
          <w:pgSz w:w="11906" w:h="16838" w:code="9"/>
          <w:pgMar w:top="1440" w:right="1440" w:bottom="1440" w:left="1440" w:header="709" w:footer="709" w:gutter="0"/>
          <w:pgNumType w:fmt="lowerRoman"/>
          <w:cols w:space="708"/>
          <w:docGrid w:linePitch="360"/>
        </w:sectPr>
      </w:pPr>
      <w:r w:rsidRPr="00D373AE">
        <w:fldChar w:fldCharType="end"/>
      </w:r>
    </w:p>
    <w:p w14:paraId="5C4F1A01" w14:textId="77777777" w:rsidR="0028210F" w:rsidRPr="00782C19" w:rsidRDefault="0028210F" w:rsidP="0028210F">
      <w:pPr>
        <w:pStyle w:val="Heading1"/>
      </w:pPr>
      <w:bookmarkStart w:id="7" w:name="_Toc79155814"/>
      <w:bookmarkStart w:id="8" w:name="_Toc79155989"/>
      <w:bookmarkStart w:id="9" w:name="_Toc103624514"/>
      <w:r w:rsidRPr="00782C19">
        <w:lastRenderedPageBreak/>
        <w:t>Section A: A</w:t>
      </w:r>
      <w:r>
        <w:t>p</w:t>
      </w:r>
      <w:r w:rsidRPr="00782C19">
        <w:t>plicant and course classification informatio</w:t>
      </w:r>
      <w:r>
        <w:t>n</w:t>
      </w:r>
      <w:bookmarkEnd w:id="7"/>
      <w:bookmarkEnd w:id="8"/>
      <w:bookmarkEnd w:id="9"/>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28210F" w:rsidRPr="00982853" w14:paraId="4E30613C" w14:textId="77777777" w:rsidTr="001F4826">
        <w:trPr>
          <w:jc w:val="center"/>
        </w:trPr>
        <w:tc>
          <w:tcPr>
            <w:tcW w:w="2979" w:type="dxa"/>
          </w:tcPr>
          <w:p w14:paraId="61A58DC6" w14:textId="77777777" w:rsidR="0028210F" w:rsidRPr="009F04FF" w:rsidRDefault="0028210F" w:rsidP="001F4826">
            <w:pPr>
              <w:pStyle w:val="SectionAsubsection"/>
            </w:pPr>
            <w:bookmarkStart w:id="10" w:name="_Toc103624515"/>
            <w:r>
              <w:t>Person in respect of whom the course is being accredited</w:t>
            </w:r>
            <w:bookmarkEnd w:id="10"/>
          </w:p>
        </w:tc>
        <w:tc>
          <w:tcPr>
            <w:tcW w:w="6052" w:type="dxa"/>
          </w:tcPr>
          <w:p w14:paraId="273CD6F9" w14:textId="77777777" w:rsidR="0028210F" w:rsidRPr="002223CB" w:rsidRDefault="0028210F" w:rsidP="0082392E">
            <w:pPr>
              <w:pStyle w:val="Bodycopy"/>
            </w:pPr>
            <w:r w:rsidRPr="00834042">
              <w:t>Copyright of this course is held by the Department of Education and Training, Victoria.</w:t>
            </w:r>
          </w:p>
          <w:p w14:paraId="640FD377" w14:textId="77777777" w:rsidR="0028210F" w:rsidRPr="002223CB" w:rsidRDefault="0028210F" w:rsidP="0082392E">
            <w:pPr>
              <w:pStyle w:val="Bodycopy"/>
            </w:pPr>
            <w:r w:rsidRPr="00834042">
              <w:t xml:space="preserve">© State of Victoria (Department of Education and Training) </w:t>
            </w:r>
            <w:r w:rsidRPr="006C0EAA">
              <w:t>2022</w:t>
            </w:r>
          </w:p>
        </w:tc>
      </w:tr>
      <w:tr w:rsidR="0028210F" w:rsidRPr="00982853" w14:paraId="1385CE91" w14:textId="77777777" w:rsidTr="001F4826">
        <w:trPr>
          <w:jc w:val="center"/>
        </w:trPr>
        <w:tc>
          <w:tcPr>
            <w:tcW w:w="2979" w:type="dxa"/>
          </w:tcPr>
          <w:p w14:paraId="310F0EF1" w14:textId="77777777" w:rsidR="0028210F" w:rsidRPr="003B6FAB" w:rsidRDefault="0028210F" w:rsidP="001F4826">
            <w:pPr>
              <w:pStyle w:val="SectionAsubsection"/>
            </w:pPr>
            <w:bookmarkStart w:id="11" w:name="_Toc103624516"/>
            <w:r w:rsidRPr="003B6FAB">
              <w:t>Address</w:t>
            </w:r>
            <w:bookmarkEnd w:id="11"/>
          </w:p>
        </w:tc>
        <w:tc>
          <w:tcPr>
            <w:tcW w:w="6052" w:type="dxa"/>
            <w:shd w:val="clear" w:color="auto" w:fill="auto"/>
          </w:tcPr>
          <w:p w14:paraId="29BD0CB8" w14:textId="77777777" w:rsidR="0028210F" w:rsidRPr="00E5777A" w:rsidRDefault="0028210F" w:rsidP="0082392E">
            <w:pPr>
              <w:pStyle w:val="Bodycopy"/>
            </w:pPr>
            <w:r w:rsidRPr="00E5777A">
              <w:t>Executive Director:</w:t>
            </w:r>
          </w:p>
          <w:p w14:paraId="549DA82A" w14:textId="77777777" w:rsidR="0028210F" w:rsidRDefault="0028210F" w:rsidP="0082392E">
            <w:pPr>
              <w:pStyle w:val="Bodycopy"/>
            </w:pPr>
            <w:r>
              <w:t>Higher Education and Workforce Development</w:t>
            </w:r>
          </w:p>
          <w:p w14:paraId="3F492B60" w14:textId="77777777" w:rsidR="0028210F" w:rsidRDefault="0028210F" w:rsidP="0082392E">
            <w:pPr>
              <w:pStyle w:val="Bodycopy"/>
            </w:pPr>
            <w:r>
              <w:t>Higher Education and Skills</w:t>
            </w:r>
          </w:p>
          <w:p w14:paraId="7511CCBA" w14:textId="77777777" w:rsidR="0028210F" w:rsidRDefault="0028210F" w:rsidP="0082392E">
            <w:pPr>
              <w:pStyle w:val="Bodycopy"/>
            </w:pPr>
            <w:r>
              <w:t>Department of Education and Training (DET)</w:t>
            </w:r>
          </w:p>
          <w:p w14:paraId="46E7E704" w14:textId="77777777" w:rsidR="0028210F" w:rsidRDefault="0028210F" w:rsidP="0082392E">
            <w:pPr>
              <w:pStyle w:val="Bodycopy"/>
            </w:pPr>
            <w:r>
              <w:t>GPO Box 4367</w:t>
            </w:r>
          </w:p>
          <w:p w14:paraId="49967093" w14:textId="77777777" w:rsidR="0028210F" w:rsidRDefault="0028210F" w:rsidP="0082392E">
            <w:pPr>
              <w:pStyle w:val="Bodycopy"/>
            </w:pPr>
            <w:r>
              <w:t>MELBOURNE VIC 3001</w:t>
            </w:r>
          </w:p>
          <w:p w14:paraId="2B69955D" w14:textId="77777777" w:rsidR="0028210F" w:rsidRPr="002223CB" w:rsidRDefault="0028210F" w:rsidP="0082392E">
            <w:pPr>
              <w:pStyle w:val="Bodycopy"/>
            </w:pPr>
          </w:p>
          <w:p w14:paraId="0C93E216" w14:textId="77777777" w:rsidR="0028210F" w:rsidRPr="00E5777A" w:rsidRDefault="0028210F" w:rsidP="0082392E">
            <w:pPr>
              <w:pStyle w:val="Bodycopy"/>
            </w:pPr>
            <w:r w:rsidRPr="00E5777A">
              <w:t xml:space="preserve">Organisational Contact: </w:t>
            </w:r>
          </w:p>
          <w:p w14:paraId="20551C8B" w14:textId="23835235" w:rsidR="0028210F" w:rsidRDefault="0028210F" w:rsidP="0082392E">
            <w:pPr>
              <w:pStyle w:val="Bodycopy"/>
            </w:pPr>
            <w:r>
              <w:t>Manager</w:t>
            </w:r>
            <w:r w:rsidR="00022C79">
              <w:t xml:space="preserve">, </w:t>
            </w:r>
            <w:r>
              <w:t>Training and Learning Products Unit</w:t>
            </w:r>
          </w:p>
          <w:p w14:paraId="7C34BCF6" w14:textId="77777777" w:rsidR="0028210F" w:rsidRDefault="0028210F" w:rsidP="0082392E">
            <w:pPr>
              <w:pStyle w:val="Bodycopy"/>
            </w:pPr>
            <w:r>
              <w:t>Higher Education and Workforce Development</w:t>
            </w:r>
          </w:p>
          <w:p w14:paraId="0E42199D" w14:textId="77777777" w:rsidR="0028210F" w:rsidRDefault="0028210F" w:rsidP="0082392E">
            <w:pPr>
              <w:pStyle w:val="Bodycopy"/>
            </w:pPr>
            <w:r>
              <w:t>Higher Education and Skills</w:t>
            </w:r>
          </w:p>
          <w:p w14:paraId="18DD5369" w14:textId="77777777" w:rsidR="0028210F" w:rsidRDefault="0028210F" w:rsidP="0082392E">
            <w:pPr>
              <w:pStyle w:val="Bodycopy"/>
            </w:pPr>
            <w:r w:rsidRPr="00BE70E4">
              <w:t>Department of Education and Training (DET)</w:t>
            </w:r>
          </w:p>
          <w:p w14:paraId="7DD59F89" w14:textId="77777777" w:rsidR="0028210F" w:rsidRDefault="0028210F" w:rsidP="0082392E">
            <w:pPr>
              <w:pStyle w:val="Bodycopy"/>
            </w:pPr>
            <w:r>
              <w:t>Telephone: 131823</w:t>
            </w:r>
          </w:p>
          <w:p w14:paraId="0756340C" w14:textId="77777777" w:rsidR="0028210F" w:rsidRDefault="0028210F" w:rsidP="0082392E">
            <w:pPr>
              <w:pStyle w:val="Bodycopy"/>
            </w:pPr>
            <w:r>
              <w:t xml:space="preserve">Email: </w:t>
            </w:r>
            <w:hyperlink r:id="rId14" w:history="1">
              <w:r w:rsidRPr="007F645B">
                <w:rPr>
                  <w:rStyle w:val="Hyperlink"/>
                </w:rPr>
                <w:t>course.enquiry@education.vic.gov.au</w:t>
              </w:r>
            </w:hyperlink>
          </w:p>
          <w:p w14:paraId="11176BC8" w14:textId="77777777" w:rsidR="0028210F" w:rsidRPr="002223CB" w:rsidRDefault="0028210F" w:rsidP="0082392E">
            <w:pPr>
              <w:pStyle w:val="Bodycopy"/>
            </w:pPr>
          </w:p>
          <w:p w14:paraId="4A8E8CB5" w14:textId="77777777" w:rsidR="0028210F" w:rsidRPr="008F11CF" w:rsidRDefault="0028210F" w:rsidP="0082392E">
            <w:pPr>
              <w:pStyle w:val="Bodycopy"/>
            </w:pPr>
            <w:r w:rsidRPr="008F11CF">
              <w:t>Day-to-day contact:</w:t>
            </w:r>
          </w:p>
          <w:p w14:paraId="59B8C64E" w14:textId="77777777" w:rsidR="0028210F" w:rsidRPr="00931D20" w:rsidRDefault="0028210F" w:rsidP="0082392E">
            <w:pPr>
              <w:pStyle w:val="Bodycopy"/>
            </w:pPr>
            <w:r w:rsidRPr="00931D20">
              <w:t>Curriculum Maintenance Manager (CMM),</w:t>
            </w:r>
          </w:p>
          <w:p w14:paraId="209C9446" w14:textId="77777777" w:rsidR="0028210F" w:rsidRPr="00931D20" w:rsidRDefault="0028210F" w:rsidP="0082392E">
            <w:pPr>
              <w:pStyle w:val="Bodycopy"/>
            </w:pPr>
            <w:r w:rsidRPr="00931D20">
              <w:t>Building Industries</w:t>
            </w:r>
          </w:p>
          <w:p w14:paraId="31F11786" w14:textId="77777777" w:rsidR="0028210F" w:rsidRPr="00931D20" w:rsidRDefault="0028210F" w:rsidP="0082392E">
            <w:pPr>
              <w:pStyle w:val="Bodycopy"/>
            </w:pPr>
            <w:r w:rsidRPr="00931D20">
              <w:t>Holmesglen Institute</w:t>
            </w:r>
          </w:p>
          <w:p w14:paraId="09203E35" w14:textId="77777777" w:rsidR="0028210F" w:rsidRPr="00931D20" w:rsidRDefault="0028210F" w:rsidP="0082392E">
            <w:pPr>
              <w:pStyle w:val="Bodycopy"/>
            </w:pPr>
            <w:r w:rsidRPr="00931D20">
              <w:t>PO Box 42</w:t>
            </w:r>
          </w:p>
          <w:p w14:paraId="34FF3884" w14:textId="77777777" w:rsidR="0028210F" w:rsidRPr="00931D20" w:rsidRDefault="0028210F" w:rsidP="0082392E">
            <w:pPr>
              <w:pStyle w:val="Bodycopy"/>
            </w:pPr>
            <w:r w:rsidRPr="00931D20">
              <w:t>Holmesglen V</w:t>
            </w:r>
            <w:r>
              <w:t>IC</w:t>
            </w:r>
            <w:r w:rsidRPr="00931D20">
              <w:t xml:space="preserve"> 3148</w:t>
            </w:r>
          </w:p>
          <w:p w14:paraId="3E2801CF" w14:textId="77777777" w:rsidR="0028210F" w:rsidRPr="00931D20" w:rsidRDefault="0028210F" w:rsidP="0082392E">
            <w:pPr>
              <w:pStyle w:val="Bodycopy"/>
            </w:pPr>
            <w:r w:rsidRPr="00931D20">
              <w:t>Telephone: (03) 9564 1987</w:t>
            </w:r>
          </w:p>
          <w:p w14:paraId="1FDA4495" w14:textId="77777777" w:rsidR="0028210F" w:rsidRPr="004D7A71" w:rsidRDefault="0028210F" w:rsidP="0082392E">
            <w:pPr>
              <w:pStyle w:val="Bodycopy"/>
            </w:pPr>
            <w:r w:rsidRPr="00931D20">
              <w:t xml:space="preserve">Email:  </w:t>
            </w:r>
            <w:hyperlink r:id="rId15" w:history="1">
              <w:r w:rsidRPr="00E47DAB">
                <w:rPr>
                  <w:rStyle w:val="Hyperlink"/>
                </w:rPr>
                <w:t>teresa.signorello@holmesglen.edu.au</w:t>
              </w:r>
            </w:hyperlink>
          </w:p>
        </w:tc>
      </w:tr>
      <w:tr w:rsidR="0028210F" w:rsidRPr="00982853" w14:paraId="34D2AD99" w14:textId="77777777" w:rsidTr="001F4826">
        <w:trPr>
          <w:jc w:val="center"/>
        </w:trPr>
        <w:tc>
          <w:tcPr>
            <w:tcW w:w="2979" w:type="dxa"/>
          </w:tcPr>
          <w:p w14:paraId="0F523A44" w14:textId="77777777" w:rsidR="0028210F" w:rsidRPr="009F04FF" w:rsidRDefault="0028210F" w:rsidP="001F4826">
            <w:pPr>
              <w:pStyle w:val="SectionAsubsection"/>
            </w:pPr>
            <w:bookmarkStart w:id="12" w:name="_Toc103624517"/>
            <w:r w:rsidRPr="009F04FF">
              <w:t>Type of submission</w:t>
            </w:r>
            <w:bookmarkEnd w:id="12"/>
          </w:p>
        </w:tc>
        <w:tc>
          <w:tcPr>
            <w:tcW w:w="6052" w:type="dxa"/>
          </w:tcPr>
          <w:p w14:paraId="6091EEE9" w14:textId="77777777" w:rsidR="0028210F" w:rsidRDefault="0028210F" w:rsidP="0082392E">
            <w:pPr>
              <w:pStyle w:val="Bodycopy"/>
            </w:pPr>
            <w:r w:rsidRPr="00A919A8">
              <w:t>This submission is for re accreditation</w:t>
            </w:r>
            <w:r>
              <w:t>:</w:t>
            </w:r>
          </w:p>
          <w:p w14:paraId="598740ED" w14:textId="77777777" w:rsidR="0028210F" w:rsidRPr="00A919A8" w:rsidRDefault="0028210F" w:rsidP="0082392E">
            <w:pPr>
              <w:pStyle w:val="Bodycopy"/>
            </w:pPr>
            <w:r>
              <w:rPr>
                <w:rStyle w:val="Strong"/>
              </w:rPr>
              <w:t>22325</w:t>
            </w:r>
            <w:r w:rsidRPr="00BE1B10">
              <w:rPr>
                <w:rStyle w:val="Strong"/>
              </w:rPr>
              <w:t>VIC Course in Workplace Spotting for Service Assets</w:t>
            </w:r>
          </w:p>
        </w:tc>
      </w:tr>
      <w:tr w:rsidR="0028210F" w:rsidRPr="00982853" w14:paraId="3E5854F7" w14:textId="77777777" w:rsidTr="001F4826">
        <w:trPr>
          <w:jc w:val="center"/>
        </w:trPr>
        <w:tc>
          <w:tcPr>
            <w:tcW w:w="2979" w:type="dxa"/>
          </w:tcPr>
          <w:p w14:paraId="115A96D5" w14:textId="77777777" w:rsidR="0028210F" w:rsidRPr="009F04FF" w:rsidRDefault="0028210F" w:rsidP="001F4826">
            <w:pPr>
              <w:pStyle w:val="SectionAsubsection"/>
            </w:pPr>
            <w:bookmarkStart w:id="13" w:name="_Toc103624518"/>
            <w:r w:rsidRPr="009F04FF">
              <w:t>Copyright acknowledgement</w:t>
            </w:r>
            <w:bookmarkEnd w:id="13"/>
          </w:p>
        </w:tc>
        <w:tc>
          <w:tcPr>
            <w:tcW w:w="6052" w:type="dxa"/>
          </w:tcPr>
          <w:p w14:paraId="5B593175" w14:textId="77777777" w:rsidR="0028210F" w:rsidRPr="002F4AB3" w:rsidRDefault="0028210F" w:rsidP="0082392E">
            <w:pPr>
              <w:pStyle w:val="Bodycopy"/>
            </w:pPr>
            <w:r w:rsidRPr="002F4AB3">
              <w:t>The following unit of competency:</w:t>
            </w:r>
          </w:p>
          <w:p w14:paraId="07CB4BAB" w14:textId="77777777" w:rsidR="0028210F" w:rsidRPr="002F4AB3" w:rsidRDefault="0028210F" w:rsidP="0082392E">
            <w:pPr>
              <w:pStyle w:val="Bodycopy"/>
            </w:pPr>
            <w:r w:rsidRPr="002F4AB3">
              <w:t>HLTAID011 - Provide First Aid</w:t>
            </w:r>
          </w:p>
          <w:p w14:paraId="1D22A3C2" w14:textId="77777777" w:rsidR="0028210F" w:rsidRDefault="0028210F" w:rsidP="0082392E">
            <w:pPr>
              <w:pStyle w:val="Bodycopy"/>
            </w:pPr>
            <w:r w:rsidRPr="008F11CF">
              <w:t>is</w:t>
            </w:r>
            <w:r w:rsidRPr="002F4AB3">
              <w:t xml:space="preserve"> from the HLT Health Training Package administered by the Commonwealth of Australia.</w:t>
            </w:r>
          </w:p>
          <w:p w14:paraId="54F10BA3" w14:textId="77777777" w:rsidR="0028210F" w:rsidRPr="000B5645" w:rsidRDefault="0028210F" w:rsidP="0082392E">
            <w:pPr>
              <w:pStyle w:val="Bodycopy"/>
            </w:pPr>
            <w:r w:rsidRPr="00221209">
              <w:t>© Commonwealth of Australia</w:t>
            </w:r>
          </w:p>
        </w:tc>
      </w:tr>
      <w:tr w:rsidR="0028210F" w:rsidRPr="00982853" w14:paraId="2F887E09" w14:textId="77777777" w:rsidTr="001F4826">
        <w:trPr>
          <w:jc w:val="center"/>
        </w:trPr>
        <w:tc>
          <w:tcPr>
            <w:tcW w:w="2979" w:type="dxa"/>
          </w:tcPr>
          <w:p w14:paraId="5DC05F05" w14:textId="77777777" w:rsidR="0028210F" w:rsidRPr="009F04FF" w:rsidRDefault="0028210F" w:rsidP="001F4826">
            <w:pPr>
              <w:pStyle w:val="SectionAsubsection"/>
            </w:pPr>
            <w:bookmarkStart w:id="14" w:name="_Toc103624519"/>
            <w:r w:rsidRPr="009F04FF">
              <w:t>Licensing and franchise</w:t>
            </w:r>
            <w:bookmarkEnd w:id="14"/>
          </w:p>
        </w:tc>
        <w:tc>
          <w:tcPr>
            <w:tcW w:w="6052" w:type="dxa"/>
            <w:shd w:val="clear" w:color="auto" w:fill="auto"/>
          </w:tcPr>
          <w:p w14:paraId="380A341C" w14:textId="77777777" w:rsidR="0028210F" w:rsidRDefault="0028210F" w:rsidP="0082392E">
            <w:pPr>
              <w:pStyle w:val="Bodycopy"/>
            </w:pPr>
            <w:r>
              <w:t>Copyright of this material is reserved to the Crown in the right of the State of Victoria.</w:t>
            </w:r>
          </w:p>
          <w:p w14:paraId="7A7DE239" w14:textId="77777777" w:rsidR="0028210F" w:rsidRDefault="0028210F" w:rsidP="0082392E">
            <w:pPr>
              <w:pStyle w:val="Bodycopy"/>
            </w:pPr>
            <w:r>
              <w:t>© State of Victoria (Department of Education and Training) 2022</w:t>
            </w:r>
          </w:p>
          <w:p w14:paraId="4A5C8C8F" w14:textId="77777777" w:rsidR="0028210F" w:rsidRDefault="0028210F" w:rsidP="0082392E">
            <w:pPr>
              <w:pStyle w:val="Bodycopy"/>
            </w:pPr>
            <w:r w:rsidRPr="00402AD7">
              <w:t>This work is licensed under a Creative Commons Attribution-NoDerivs 3.0 Australia licence. See website</w:t>
            </w:r>
            <w:r>
              <w:t xml:space="preserve"> </w:t>
            </w:r>
            <w:hyperlink r:id="rId16" w:history="1">
              <w:r w:rsidRPr="008F2132">
                <w:rPr>
                  <w:rStyle w:val="Hyperlink"/>
                </w:rPr>
                <w:t>here</w:t>
              </w:r>
            </w:hyperlink>
            <w:r w:rsidRPr="00402AD7">
              <w:t>.</w:t>
            </w:r>
          </w:p>
          <w:p w14:paraId="5B891A7F" w14:textId="77777777" w:rsidR="0028210F" w:rsidRPr="00456E0A" w:rsidRDefault="0028210F" w:rsidP="0082392E">
            <w:pPr>
              <w:pStyle w:val="Bodycopy"/>
            </w:pPr>
            <w:r w:rsidRPr="00456E0A">
              <w:t>You are free to use, copy and distribute to anyone in its original form as long as you attribute Higher Education and Skills, Department of Education and Training as the author and you license any derivative work you make available under the same licence.</w:t>
            </w:r>
          </w:p>
          <w:p w14:paraId="35CA5E18" w14:textId="77777777" w:rsidR="0028210F" w:rsidRPr="005B0BB9" w:rsidRDefault="0028210F" w:rsidP="0082392E">
            <w:pPr>
              <w:pStyle w:val="Bodycopy"/>
            </w:pPr>
            <w:r>
              <w:rPr>
                <w:noProof/>
              </w:rPr>
              <w:drawing>
                <wp:inline distT="0" distB="0" distL="0" distR="0" wp14:anchorId="54BA1FC0" wp14:editId="0360EDFB">
                  <wp:extent cx="841375" cy="292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28210F" w:rsidRPr="00982853" w14:paraId="5D5E069D" w14:textId="77777777" w:rsidTr="001F4826">
        <w:trPr>
          <w:trHeight w:val="708"/>
          <w:jc w:val="center"/>
        </w:trPr>
        <w:tc>
          <w:tcPr>
            <w:tcW w:w="2979" w:type="dxa"/>
          </w:tcPr>
          <w:p w14:paraId="2257E568" w14:textId="77777777" w:rsidR="0028210F" w:rsidRPr="009F04FF" w:rsidRDefault="0028210F" w:rsidP="001F4826">
            <w:pPr>
              <w:pStyle w:val="SectionAsubsection"/>
            </w:pPr>
            <w:bookmarkStart w:id="15" w:name="_Toc103624520"/>
            <w:r w:rsidRPr="009F04FF">
              <w:t>Course accrediting body</w:t>
            </w:r>
            <w:bookmarkEnd w:id="15"/>
          </w:p>
        </w:tc>
        <w:tc>
          <w:tcPr>
            <w:tcW w:w="6052" w:type="dxa"/>
          </w:tcPr>
          <w:p w14:paraId="21087ADC" w14:textId="77777777" w:rsidR="0028210F" w:rsidRPr="001013CC" w:rsidRDefault="0028210F" w:rsidP="0082392E">
            <w:pPr>
              <w:pStyle w:val="Bodycopy"/>
            </w:pPr>
            <w:r w:rsidRPr="001013CC">
              <w:t>Victorian Registration and Qualifications Authority</w:t>
            </w:r>
          </w:p>
        </w:tc>
      </w:tr>
      <w:tr w:rsidR="0028210F" w:rsidRPr="00982853" w14:paraId="13F3CF6E" w14:textId="77777777" w:rsidTr="001F4826">
        <w:trPr>
          <w:jc w:val="center"/>
        </w:trPr>
        <w:tc>
          <w:tcPr>
            <w:tcW w:w="2979" w:type="dxa"/>
          </w:tcPr>
          <w:p w14:paraId="7B3093D1" w14:textId="77777777" w:rsidR="0028210F" w:rsidRPr="009F04FF" w:rsidRDefault="0028210F" w:rsidP="001F4826">
            <w:pPr>
              <w:pStyle w:val="SectionAsubsection"/>
            </w:pPr>
            <w:bookmarkStart w:id="16" w:name="_Toc103624521"/>
            <w:r w:rsidRPr="009F04FF">
              <w:t>AVETMISS information</w:t>
            </w:r>
            <w:bookmarkEnd w:id="16"/>
          </w:p>
        </w:tc>
        <w:tc>
          <w:tcPr>
            <w:tcW w:w="6052" w:type="dxa"/>
          </w:tcPr>
          <w:p w14:paraId="11A3B084" w14:textId="77777777" w:rsidR="0028210F" w:rsidRPr="00D373AE" w:rsidRDefault="0028210F" w:rsidP="0082392E">
            <w:pPr>
              <w:pStyle w:val="Bodycopy"/>
            </w:pPr>
            <w:r w:rsidRPr="00D373AE">
              <w:rPr>
                <w:rStyle w:val="Strong"/>
              </w:rPr>
              <w:t xml:space="preserve">ANZSCO code </w:t>
            </w:r>
          </w:p>
          <w:p w14:paraId="4FB76788" w14:textId="77777777" w:rsidR="0028210F" w:rsidRPr="00D373AE" w:rsidRDefault="00282910" w:rsidP="0082392E">
            <w:pPr>
              <w:pStyle w:val="Bodycopy"/>
              <w:rPr>
                <w:rStyle w:val="Hyperlink"/>
              </w:rPr>
            </w:pPr>
            <w:hyperlink r:id="rId18" w:history="1">
              <w:r w:rsidR="0028210F">
                <w:rPr>
                  <w:rStyle w:val="Hyperlink"/>
                </w:rPr>
                <w:t>Click here</w:t>
              </w:r>
            </w:hyperlink>
          </w:p>
          <w:p w14:paraId="4A0BB35C" w14:textId="77777777" w:rsidR="0028210F" w:rsidRPr="00D373AE" w:rsidRDefault="0028210F" w:rsidP="0082392E">
            <w:pPr>
              <w:pStyle w:val="Bodycopy"/>
            </w:pPr>
            <w:r w:rsidRPr="00D373AE">
              <w:t>721211 Earthmoving Plant Operator (General)</w:t>
            </w:r>
          </w:p>
          <w:p w14:paraId="3DEC99ED" w14:textId="77777777" w:rsidR="0028210F" w:rsidRPr="00D373AE" w:rsidRDefault="0028210F" w:rsidP="0082392E">
            <w:pPr>
              <w:pStyle w:val="Bodycopy"/>
              <w:rPr>
                <w:rStyle w:val="Strong"/>
              </w:rPr>
            </w:pPr>
            <w:r w:rsidRPr="00D373AE">
              <w:rPr>
                <w:rStyle w:val="Strong"/>
              </w:rPr>
              <w:t xml:space="preserve">ASCED code </w:t>
            </w:r>
          </w:p>
          <w:p w14:paraId="38D9FA35" w14:textId="77777777" w:rsidR="0028210F" w:rsidRPr="00D373AE" w:rsidRDefault="0028210F" w:rsidP="0082392E">
            <w:pPr>
              <w:pStyle w:val="Bodycopy"/>
              <w:rPr>
                <w:rStyle w:val="Hyperlink"/>
              </w:rPr>
            </w:pPr>
            <w:r w:rsidRPr="00D373AE">
              <w:rPr>
                <w:rStyle w:val="Hyperlink"/>
                <w:sz w:val="24"/>
              </w:rPr>
              <w:fldChar w:fldCharType="begin"/>
            </w:r>
            <w:r w:rsidRPr="00D373AE">
              <w:rPr>
                <w:rStyle w:val="Hyperlink"/>
              </w:rPr>
              <w:instrText xml:space="preserve"> HYPERLINK "http://www.abs.gov.au/AUSSTATS/abs@.nsf/DetailsPage/1272.02001?OpenDocument" </w:instrText>
            </w:r>
            <w:r w:rsidRPr="00D373AE">
              <w:rPr>
                <w:rStyle w:val="Hyperlink"/>
                <w:sz w:val="24"/>
              </w:rPr>
              <w:fldChar w:fldCharType="separate"/>
            </w:r>
            <w:r w:rsidRPr="00D373AE">
              <w:rPr>
                <w:rStyle w:val="Hyperlink"/>
              </w:rPr>
              <w:t>Field of Education</w:t>
            </w:r>
          </w:p>
          <w:p w14:paraId="1D608651" w14:textId="77777777" w:rsidR="0028210F" w:rsidRPr="00D373AE" w:rsidRDefault="0028210F" w:rsidP="0082392E">
            <w:pPr>
              <w:pStyle w:val="Bodycopy"/>
            </w:pPr>
            <w:r w:rsidRPr="00D373AE">
              <w:rPr>
                <w:rStyle w:val="Hyperlink"/>
              </w:rPr>
              <w:fldChar w:fldCharType="end"/>
            </w:r>
            <w:r w:rsidRPr="00D373AE">
              <w:t xml:space="preserve">0403 Building </w:t>
            </w:r>
          </w:p>
          <w:p w14:paraId="1B0D9AB5" w14:textId="77777777" w:rsidR="0028210F" w:rsidRPr="00D373AE" w:rsidRDefault="0028210F" w:rsidP="0082392E">
            <w:pPr>
              <w:pStyle w:val="Bodycopy"/>
              <w:rPr>
                <w:rStyle w:val="Strong"/>
              </w:rPr>
            </w:pPr>
            <w:r w:rsidRPr="00D373AE">
              <w:rPr>
                <w:rStyle w:val="Strong"/>
              </w:rPr>
              <w:t>National course code</w:t>
            </w:r>
          </w:p>
          <w:p w14:paraId="73F4DDF4" w14:textId="77777777" w:rsidR="0028210F" w:rsidRPr="00D373AE" w:rsidRDefault="0028210F" w:rsidP="0082392E">
            <w:pPr>
              <w:pStyle w:val="Bodycopy"/>
            </w:pPr>
            <w:r>
              <w:t>22597VIC</w:t>
            </w:r>
          </w:p>
        </w:tc>
      </w:tr>
      <w:tr w:rsidR="0028210F" w:rsidRPr="00982853" w14:paraId="1EB9B0A3" w14:textId="77777777" w:rsidTr="001F4826">
        <w:trPr>
          <w:jc w:val="center"/>
        </w:trPr>
        <w:tc>
          <w:tcPr>
            <w:tcW w:w="2979" w:type="dxa"/>
          </w:tcPr>
          <w:p w14:paraId="0B69771F" w14:textId="77777777" w:rsidR="0028210F" w:rsidRPr="009F04FF" w:rsidRDefault="0028210F" w:rsidP="001F4826">
            <w:pPr>
              <w:pStyle w:val="SectionAsubsection"/>
            </w:pPr>
            <w:bookmarkStart w:id="17" w:name="_Toc103624522"/>
            <w:r w:rsidRPr="009F04FF">
              <w:t>Period of accreditation</w:t>
            </w:r>
            <w:bookmarkEnd w:id="17"/>
          </w:p>
        </w:tc>
        <w:tc>
          <w:tcPr>
            <w:tcW w:w="6052" w:type="dxa"/>
          </w:tcPr>
          <w:p w14:paraId="680B90AA" w14:textId="77777777" w:rsidR="0028210F" w:rsidRPr="00D373AE" w:rsidRDefault="0028210F" w:rsidP="0082392E">
            <w:pPr>
              <w:pStyle w:val="Bodycopy"/>
            </w:pPr>
            <w:r w:rsidRPr="00D373AE">
              <w:t>01 July 2022 to 30 June 2027</w:t>
            </w:r>
          </w:p>
        </w:tc>
      </w:tr>
    </w:tbl>
    <w:p w14:paraId="320061B5" w14:textId="77777777" w:rsidR="0028210F" w:rsidRDefault="0028210F" w:rsidP="0028210F"/>
    <w:p w14:paraId="09C754EF" w14:textId="3F12096D" w:rsidR="0028210F" w:rsidRDefault="0028210F" w:rsidP="0028210F">
      <w:pPr>
        <w:sectPr w:rsidR="0028210F" w:rsidSect="00E50851">
          <w:headerReference w:type="default" r:id="rId19"/>
          <w:footerReference w:type="default" r:id="rId20"/>
          <w:pgSz w:w="11906" w:h="16838" w:code="9"/>
          <w:pgMar w:top="1440" w:right="1440" w:bottom="1440" w:left="1440" w:header="709" w:footer="709" w:gutter="0"/>
          <w:cols w:space="708"/>
          <w:docGrid w:linePitch="360"/>
        </w:sectPr>
      </w:pPr>
    </w:p>
    <w:p w14:paraId="41A540A5" w14:textId="77777777" w:rsidR="0028210F" w:rsidRPr="000B5645" w:rsidRDefault="0028210F" w:rsidP="0028210F">
      <w:pPr>
        <w:pStyle w:val="Heading1"/>
        <w:ind w:left="-142"/>
      </w:pPr>
      <w:bookmarkStart w:id="18" w:name="_Toc74134248"/>
      <w:bookmarkStart w:id="19" w:name="_Toc74135481"/>
      <w:bookmarkStart w:id="20" w:name="_Toc74135954"/>
      <w:bookmarkStart w:id="21" w:name="_Toc74136166"/>
      <w:bookmarkStart w:id="22" w:name="_Toc79155815"/>
      <w:bookmarkStart w:id="23" w:name="_Toc79155990"/>
      <w:bookmarkStart w:id="24" w:name="_Toc103624523"/>
      <w:r w:rsidRPr="000B5645">
        <w:t>Section B: Course information</w:t>
      </w:r>
      <w:bookmarkEnd w:id="18"/>
      <w:bookmarkEnd w:id="19"/>
      <w:bookmarkEnd w:id="20"/>
      <w:bookmarkEnd w:id="21"/>
      <w:bookmarkEnd w:id="22"/>
      <w:bookmarkEnd w:id="23"/>
      <w:bookmarkEnd w:id="24"/>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310"/>
        <w:gridCol w:w="286"/>
        <w:gridCol w:w="221"/>
        <w:gridCol w:w="2762"/>
        <w:gridCol w:w="1270"/>
        <w:gridCol w:w="1493"/>
      </w:tblGrid>
      <w:tr w:rsidR="0028210F" w:rsidRPr="00982853" w14:paraId="3822BD68" w14:textId="77777777" w:rsidTr="001F4826">
        <w:tc>
          <w:tcPr>
            <w:tcW w:w="3182" w:type="dxa"/>
            <w:gridSpan w:val="2"/>
            <w:tcBorders>
              <w:right w:val="nil"/>
            </w:tcBorders>
            <w:shd w:val="clear" w:color="auto" w:fill="DBE5F1"/>
            <w:vAlign w:val="center"/>
          </w:tcPr>
          <w:p w14:paraId="7BADD92D" w14:textId="77777777" w:rsidR="0028210F" w:rsidRPr="009F04FF" w:rsidRDefault="0028210F" w:rsidP="001F4826">
            <w:pPr>
              <w:pStyle w:val="SectionBSubsection"/>
            </w:pPr>
            <w:bookmarkStart w:id="25" w:name="_Toc103624524"/>
            <w:r w:rsidRPr="009F04FF">
              <w:t>Nomenclature</w:t>
            </w:r>
            <w:bookmarkEnd w:id="25"/>
          </w:p>
        </w:tc>
        <w:tc>
          <w:tcPr>
            <w:tcW w:w="6032" w:type="dxa"/>
            <w:gridSpan w:val="5"/>
            <w:tcBorders>
              <w:left w:val="nil"/>
            </w:tcBorders>
            <w:shd w:val="clear" w:color="auto" w:fill="DBE5F1"/>
            <w:vAlign w:val="center"/>
          </w:tcPr>
          <w:p w14:paraId="57717F05" w14:textId="77777777" w:rsidR="0028210F" w:rsidRPr="00965926" w:rsidRDefault="0028210F" w:rsidP="001F4826">
            <w:pPr>
              <w:spacing w:before="120" w:after="120"/>
              <w:rPr>
                <w:b/>
                <w:i/>
              </w:rPr>
            </w:pPr>
          </w:p>
        </w:tc>
      </w:tr>
      <w:tr w:rsidR="0028210F" w:rsidRPr="00982853" w14:paraId="59E0558B" w14:textId="77777777" w:rsidTr="001F4826">
        <w:tc>
          <w:tcPr>
            <w:tcW w:w="3182" w:type="dxa"/>
            <w:gridSpan w:val="2"/>
          </w:tcPr>
          <w:p w14:paraId="27C90969" w14:textId="77777777" w:rsidR="0028210F" w:rsidRPr="000B5645" w:rsidDel="00E859AB" w:rsidRDefault="0028210F" w:rsidP="001F4826">
            <w:pPr>
              <w:pStyle w:val="SectionBSubsection2"/>
            </w:pPr>
            <w:bookmarkStart w:id="26" w:name="_Toc103624525"/>
            <w:r w:rsidRPr="000B5645">
              <w:t>Name of the qualification</w:t>
            </w:r>
            <w:bookmarkEnd w:id="26"/>
          </w:p>
        </w:tc>
        <w:tc>
          <w:tcPr>
            <w:tcW w:w="6032" w:type="dxa"/>
            <w:gridSpan w:val="5"/>
            <w:vAlign w:val="center"/>
          </w:tcPr>
          <w:p w14:paraId="667AD7AF" w14:textId="77777777" w:rsidR="0028210F" w:rsidRPr="009A4D77" w:rsidRDefault="0028210F" w:rsidP="0082392E">
            <w:pPr>
              <w:pStyle w:val="Bodycopy"/>
            </w:pPr>
            <w:r w:rsidRPr="009A4D77">
              <w:t>Standard 4.1 AQTF 2021 Standards for Accredited Courses</w:t>
            </w:r>
          </w:p>
          <w:p w14:paraId="11B14CEA" w14:textId="77777777" w:rsidR="0028210F" w:rsidRPr="00965926" w:rsidDel="00E859AB" w:rsidRDefault="0028210F" w:rsidP="0082392E">
            <w:pPr>
              <w:pStyle w:val="Bodycopy"/>
            </w:pPr>
            <w:r w:rsidRPr="005E6F25">
              <w:t>Course in Workplace Spotting for Service Assets</w:t>
            </w:r>
          </w:p>
        </w:tc>
      </w:tr>
      <w:tr w:rsidR="0028210F" w:rsidRPr="00982853" w14:paraId="6D1A240E" w14:textId="77777777" w:rsidTr="001F4826">
        <w:trPr>
          <w:trHeight w:val="817"/>
        </w:trPr>
        <w:tc>
          <w:tcPr>
            <w:tcW w:w="3182" w:type="dxa"/>
            <w:gridSpan w:val="2"/>
          </w:tcPr>
          <w:p w14:paraId="0E3E999B" w14:textId="77777777" w:rsidR="0028210F" w:rsidRPr="009F04FF" w:rsidRDefault="0028210F" w:rsidP="001F4826">
            <w:pPr>
              <w:pStyle w:val="SectionBSubsection2"/>
            </w:pPr>
            <w:bookmarkStart w:id="27" w:name="_Toc103624526"/>
            <w:r w:rsidRPr="009F04FF">
              <w:t>Nominal duration of the course</w:t>
            </w:r>
            <w:bookmarkEnd w:id="27"/>
          </w:p>
        </w:tc>
        <w:tc>
          <w:tcPr>
            <w:tcW w:w="6032" w:type="dxa"/>
            <w:gridSpan w:val="5"/>
            <w:tcBorders>
              <w:bottom w:val="single" w:sz="4" w:space="0" w:color="auto"/>
            </w:tcBorders>
          </w:tcPr>
          <w:p w14:paraId="12977633" w14:textId="77777777" w:rsidR="0028210F" w:rsidRPr="00972911" w:rsidRDefault="0028210F" w:rsidP="0082392E">
            <w:pPr>
              <w:pStyle w:val="Bodycopy"/>
            </w:pPr>
            <w:r w:rsidRPr="00972911">
              <w:t>Standard</w:t>
            </w:r>
            <w:r w:rsidRPr="0063377C">
              <w:rPr>
                <w:i/>
              </w:rPr>
              <w:t xml:space="preserve"> </w:t>
            </w:r>
            <w:r w:rsidRPr="00972911">
              <w:t>5.8 AQTF 2021 Standards for Accredited Courses</w:t>
            </w:r>
          </w:p>
          <w:p w14:paraId="579E406B" w14:textId="77777777" w:rsidR="0028210F" w:rsidRPr="00965926" w:rsidRDefault="0028210F" w:rsidP="0082392E">
            <w:pPr>
              <w:pStyle w:val="Bodycopy"/>
            </w:pPr>
            <w:r>
              <w:t>26 nominal hours</w:t>
            </w:r>
          </w:p>
        </w:tc>
      </w:tr>
      <w:tr w:rsidR="0028210F" w:rsidRPr="00982853" w14:paraId="7FB79DCD" w14:textId="77777777" w:rsidTr="001F4826">
        <w:tc>
          <w:tcPr>
            <w:tcW w:w="9214" w:type="dxa"/>
            <w:gridSpan w:val="7"/>
            <w:shd w:val="clear" w:color="auto" w:fill="DBE5F1"/>
          </w:tcPr>
          <w:p w14:paraId="1EE62F77" w14:textId="77777777" w:rsidR="0028210F" w:rsidRPr="00965926" w:rsidRDefault="0028210F" w:rsidP="001F4826">
            <w:pPr>
              <w:pStyle w:val="SectionBSubsection"/>
            </w:pPr>
            <w:bookmarkStart w:id="28" w:name="_Toc103624527"/>
            <w:r w:rsidRPr="00965926">
              <w:t>Vocational or educational outcomes of the course</w:t>
            </w:r>
            <w:bookmarkEnd w:id="28"/>
          </w:p>
        </w:tc>
      </w:tr>
      <w:tr w:rsidR="0028210F" w:rsidRPr="00982853" w14:paraId="7ED90B7E" w14:textId="77777777" w:rsidTr="001F4826">
        <w:tc>
          <w:tcPr>
            <w:tcW w:w="3182" w:type="dxa"/>
            <w:gridSpan w:val="2"/>
          </w:tcPr>
          <w:p w14:paraId="422DBCCE" w14:textId="77777777" w:rsidR="0028210F" w:rsidRPr="009F04FF" w:rsidRDefault="0028210F" w:rsidP="001F4826">
            <w:pPr>
              <w:pStyle w:val="SectionBSubsection2"/>
            </w:pPr>
            <w:bookmarkStart w:id="29" w:name="_Toc103624528"/>
            <w:r>
              <w:t>Outcome(s)</w:t>
            </w:r>
            <w:r w:rsidRPr="009F04FF">
              <w:t xml:space="preserve"> of the course</w:t>
            </w:r>
            <w:bookmarkEnd w:id="29"/>
          </w:p>
        </w:tc>
        <w:tc>
          <w:tcPr>
            <w:tcW w:w="6032" w:type="dxa"/>
            <w:gridSpan w:val="5"/>
            <w:tcBorders>
              <w:bottom w:val="single" w:sz="4" w:space="0" w:color="auto"/>
            </w:tcBorders>
          </w:tcPr>
          <w:p w14:paraId="6FB10413" w14:textId="77777777" w:rsidR="0028210F" w:rsidRPr="00754361" w:rsidRDefault="0028210F" w:rsidP="0082392E">
            <w:pPr>
              <w:pStyle w:val="Bodycopy"/>
            </w:pPr>
            <w:r w:rsidRPr="00754361">
              <w:t>Standard 5.1 AQTF 2021 Standards for Accredited Courses</w:t>
            </w:r>
          </w:p>
          <w:p w14:paraId="74F6338D" w14:textId="77777777" w:rsidR="0028210F" w:rsidRDefault="0028210F" w:rsidP="0082392E">
            <w:pPr>
              <w:pStyle w:val="Bodycopy"/>
            </w:pPr>
            <w:r>
              <w:t>The 22597VIC Course in Workplace Spotting for Service Assets will prepare graduates with the skills and knowledge to be registered as a Spotter by Energy Safe Victoria (ESV), when working in the vicinity of overhead and underground assets with plant and equipment.  They will be able to:</w:t>
            </w:r>
          </w:p>
          <w:p w14:paraId="2424A2BC" w14:textId="77777777" w:rsidR="0028210F" w:rsidRDefault="0028210F" w:rsidP="0082392E">
            <w:pPr>
              <w:pStyle w:val="Bodycopy"/>
              <w:numPr>
                <w:ilvl w:val="0"/>
                <w:numId w:val="5"/>
              </w:numPr>
            </w:pPr>
            <w:r>
              <w:t>provide a first aid response to a casualty in a workplace setting</w:t>
            </w:r>
          </w:p>
          <w:p w14:paraId="2C83B92D" w14:textId="77777777" w:rsidR="0028210F" w:rsidRDefault="0028210F" w:rsidP="0082392E">
            <w:pPr>
              <w:pStyle w:val="Bodycopy"/>
              <w:numPr>
                <w:ilvl w:val="0"/>
                <w:numId w:val="5"/>
              </w:numPr>
            </w:pPr>
            <w:r>
              <w:t>ensure safe practice as a spotter</w:t>
            </w:r>
          </w:p>
          <w:p w14:paraId="5463B3A3" w14:textId="77777777" w:rsidR="0028210F" w:rsidRDefault="0028210F" w:rsidP="0082392E">
            <w:pPr>
              <w:pStyle w:val="Bodycopy"/>
              <w:numPr>
                <w:ilvl w:val="0"/>
                <w:numId w:val="5"/>
              </w:numPr>
            </w:pPr>
            <w:r>
              <w:t>identify and address hazards associated with plant operating close to overhead and underground assets</w:t>
            </w:r>
          </w:p>
          <w:p w14:paraId="0FEF4836" w14:textId="08A97A7E" w:rsidR="0028210F" w:rsidRDefault="0028210F" w:rsidP="0082392E">
            <w:pPr>
              <w:pStyle w:val="Bodycopy"/>
              <w:numPr>
                <w:ilvl w:val="0"/>
                <w:numId w:val="5"/>
              </w:numPr>
            </w:pPr>
            <w:r>
              <w:t>undertake prestart activities and safety checks</w:t>
            </w:r>
          </w:p>
          <w:p w14:paraId="69B20AD8" w14:textId="77777777" w:rsidR="0028210F" w:rsidRDefault="0028210F" w:rsidP="0082392E">
            <w:pPr>
              <w:pStyle w:val="Bodycopy"/>
              <w:numPr>
                <w:ilvl w:val="0"/>
                <w:numId w:val="5"/>
              </w:numPr>
            </w:pPr>
            <w:r>
              <w:t>communicate approach limit information to plant operators</w:t>
            </w:r>
          </w:p>
          <w:p w14:paraId="6E56E864" w14:textId="77777777" w:rsidR="0028210F" w:rsidRDefault="0028210F" w:rsidP="0082392E">
            <w:pPr>
              <w:pStyle w:val="Bodycopy"/>
              <w:numPr>
                <w:ilvl w:val="0"/>
                <w:numId w:val="5"/>
              </w:numPr>
            </w:pPr>
            <w:r>
              <w:t>facilitate emergency procedures and activities</w:t>
            </w:r>
          </w:p>
          <w:p w14:paraId="171E4210" w14:textId="77777777" w:rsidR="0028210F" w:rsidRPr="006E1207" w:rsidRDefault="0028210F" w:rsidP="0082392E">
            <w:pPr>
              <w:pStyle w:val="Bodycopy"/>
              <w:numPr>
                <w:ilvl w:val="0"/>
                <w:numId w:val="5"/>
              </w:numPr>
            </w:pPr>
            <w:r>
              <w:t>identify the operational envelope of plant/machinery.</w:t>
            </w:r>
            <w:r w:rsidRPr="006C0EAA">
              <w:t xml:space="preserve"> </w:t>
            </w:r>
          </w:p>
        </w:tc>
      </w:tr>
      <w:tr w:rsidR="0028210F" w:rsidRPr="00982853" w14:paraId="2FC52985" w14:textId="77777777" w:rsidTr="001F4826">
        <w:tc>
          <w:tcPr>
            <w:tcW w:w="3182" w:type="dxa"/>
            <w:gridSpan w:val="2"/>
          </w:tcPr>
          <w:p w14:paraId="679ADD01" w14:textId="77777777" w:rsidR="0028210F" w:rsidRDefault="0028210F" w:rsidP="001F4826">
            <w:pPr>
              <w:pStyle w:val="SectionBSubsection2"/>
            </w:pPr>
            <w:bookmarkStart w:id="30" w:name="_Toc103624529"/>
            <w:r>
              <w:t>Course description</w:t>
            </w:r>
            <w:bookmarkEnd w:id="30"/>
          </w:p>
        </w:tc>
        <w:tc>
          <w:tcPr>
            <w:tcW w:w="6032" w:type="dxa"/>
            <w:gridSpan w:val="5"/>
            <w:tcBorders>
              <w:bottom w:val="single" w:sz="4" w:space="0" w:color="auto"/>
            </w:tcBorders>
          </w:tcPr>
          <w:p w14:paraId="3B1D4F7F" w14:textId="77777777" w:rsidR="0028210F" w:rsidRPr="00965926" w:rsidRDefault="0028210F" w:rsidP="0082392E">
            <w:pPr>
              <w:pStyle w:val="Bodycopy"/>
            </w:pPr>
            <w:r w:rsidRPr="00965926">
              <w:t>Standard 5.1 AQTF 2021 Standards for Accredited Courses</w:t>
            </w:r>
          </w:p>
          <w:p w14:paraId="03BFFF3D" w14:textId="77777777" w:rsidR="0028210F" w:rsidRDefault="0028210F" w:rsidP="0082392E">
            <w:pPr>
              <w:pStyle w:val="Bodycopy"/>
              <w:rPr>
                <w:shd w:val="clear" w:color="auto" w:fill="FFFFFF"/>
              </w:rPr>
            </w:pPr>
            <w:r w:rsidRPr="00757532">
              <w:rPr>
                <w:shd w:val="clear" w:color="auto" w:fill="FFFFFF"/>
              </w:rPr>
              <w:t xml:space="preserve">The Course in Workplace Spotting for Service Assets </w:t>
            </w:r>
            <w:r>
              <w:rPr>
                <w:shd w:val="clear" w:color="auto" w:fill="FFFFFF"/>
              </w:rPr>
              <w:t>is designed for people wanting to become safety observers for plant and equipment. Safety observers work in close proximity to overhead and underground services.</w:t>
            </w:r>
            <w:r w:rsidR="00022C79">
              <w:rPr>
                <w:shd w:val="clear" w:color="auto" w:fill="FFFFFF"/>
              </w:rPr>
              <w:t xml:space="preserve">  G</w:t>
            </w:r>
            <w:r w:rsidRPr="00757532">
              <w:rPr>
                <w:shd w:val="clear" w:color="auto" w:fill="FFFFFF"/>
              </w:rPr>
              <w:t xml:space="preserve">raduates </w:t>
            </w:r>
            <w:r>
              <w:rPr>
                <w:shd w:val="clear" w:color="auto" w:fill="FFFFFF"/>
              </w:rPr>
              <w:t xml:space="preserve">of the course </w:t>
            </w:r>
            <w:r w:rsidRPr="00EC49EF">
              <w:rPr>
                <w:shd w:val="clear" w:color="auto" w:fill="FFFFFF"/>
              </w:rPr>
              <w:t>may be</w:t>
            </w:r>
            <w:r w:rsidRPr="00757532">
              <w:rPr>
                <w:shd w:val="clear" w:color="auto" w:fill="FFFFFF"/>
              </w:rPr>
              <w:t xml:space="preserve"> registered as a </w:t>
            </w:r>
            <w:r>
              <w:rPr>
                <w:shd w:val="clear" w:color="auto" w:fill="FFFFFF"/>
              </w:rPr>
              <w:t>Spotter by Energy Safe Victoria (ESV)</w:t>
            </w:r>
            <w:r w:rsidRPr="00757532">
              <w:rPr>
                <w:shd w:val="clear" w:color="auto" w:fill="FFFFFF"/>
              </w:rPr>
              <w:t>.</w:t>
            </w:r>
          </w:p>
          <w:p w14:paraId="220650A1" w14:textId="77777777" w:rsidR="00363AEA" w:rsidRDefault="00363AEA" w:rsidP="0082392E">
            <w:pPr>
              <w:pStyle w:val="Bodycopy"/>
              <w:rPr>
                <w:shd w:val="clear" w:color="auto" w:fill="FFFFFF"/>
              </w:rPr>
            </w:pPr>
          </w:p>
          <w:p w14:paraId="6E7F96B2" w14:textId="77AF7AC8" w:rsidR="00363AEA" w:rsidRPr="00965926" w:rsidRDefault="00363AEA" w:rsidP="0082392E">
            <w:pPr>
              <w:pStyle w:val="Bodycopy"/>
            </w:pPr>
          </w:p>
        </w:tc>
      </w:tr>
      <w:tr w:rsidR="0028210F" w:rsidRPr="00982853" w14:paraId="78FA8904" w14:textId="77777777" w:rsidTr="001F4826">
        <w:tc>
          <w:tcPr>
            <w:tcW w:w="9214" w:type="dxa"/>
            <w:gridSpan w:val="7"/>
            <w:shd w:val="clear" w:color="auto" w:fill="DBE5F1"/>
          </w:tcPr>
          <w:p w14:paraId="39D69AB9" w14:textId="77777777" w:rsidR="0028210F" w:rsidRPr="009F04FF" w:rsidRDefault="0028210F" w:rsidP="001F4826">
            <w:pPr>
              <w:pStyle w:val="SectionBSubsection"/>
            </w:pPr>
            <w:bookmarkStart w:id="31" w:name="_Toc103624530"/>
            <w:r w:rsidRPr="009F04FF">
              <w:t>Development of the course</w:t>
            </w:r>
            <w:bookmarkEnd w:id="31"/>
          </w:p>
        </w:tc>
      </w:tr>
      <w:tr w:rsidR="0028210F" w:rsidRPr="00982853" w14:paraId="0A743592" w14:textId="77777777" w:rsidTr="001F4826">
        <w:tc>
          <w:tcPr>
            <w:tcW w:w="3182" w:type="dxa"/>
            <w:gridSpan w:val="2"/>
            <w:shd w:val="clear" w:color="auto" w:fill="auto"/>
          </w:tcPr>
          <w:p w14:paraId="3E67482D" w14:textId="77777777" w:rsidR="0028210F" w:rsidRPr="008A5107" w:rsidRDefault="0028210F" w:rsidP="001F4826">
            <w:pPr>
              <w:pStyle w:val="SectionBSubsection2"/>
            </w:pPr>
            <w:bookmarkStart w:id="32" w:name="_Toc103624531"/>
            <w:r w:rsidRPr="008A5107">
              <w:t>Industry, education, legislative, enterprise or community needs</w:t>
            </w:r>
            <w:bookmarkEnd w:id="32"/>
          </w:p>
        </w:tc>
        <w:tc>
          <w:tcPr>
            <w:tcW w:w="6032" w:type="dxa"/>
            <w:gridSpan w:val="5"/>
            <w:shd w:val="clear" w:color="auto" w:fill="auto"/>
          </w:tcPr>
          <w:p w14:paraId="1B48CB94" w14:textId="77777777" w:rsidR="0028210F" w:rsidRDefault="0028210F" w:rsidP="0082392E">
            <w:pPr>
              <w:pStyle w:val="Bodycopy"/>
            </w:pPr>
            <w:r>
              <w:t>Standards 4.1, 5.1, 5.2, 5.3 and 5.4 AQTF 2021 Standards for Accredited Courses</w:t>
            </w:r>
          </w:p>
          <w:p w14:paraId="52B6AF73" w14:textId="77777777" w:rsidR="0028210F" w:rsidRPr="008A5107" w:rsidRDefault="0028210F" w:rsidP="0082392E">
            <w:pPr>
              <w:pStyle w:val="Bodycopy"/>
            </w:pPr>
            <w:r w:rsidRPr="008A5107">
              <w:t>The need for registered spotters is driven by requirements administered by Energy Safe Victoria (ESV).  ESV, Victoria’s energy safety regulator, is responsible for electricity, gas and pipeline safety</w:t>
            </w:r>
            <w:r w:rsidRPr="008A5107">
              <w:footnoteReference w:id="1"/>
            </w:r>
            <w:r w:rsidRPr="008A5107">
              <w:t xml:space="preserve">.  Its objectives under the Electricity Safety Act 1998 s6 (in part) are to: </w:t>
            </w:r>
          </w:p>
          <w:p w14:paraId="4575C1F1" w14:textId="77777777" w:rsidR="0028210F" w:rsidRPr="008A5107" w:rsidRDefault="0028210F" w:rsidP="001F4826">
            <w:pPr>
              <w:pStyle w:val="ListBullet"/>
            </w:pPr>
            <w:r w:rsidRPr="008A5107">
              <w:t>“control the electrical safety standards of electrical work carried out by electrical workers</w:t>
            </w:r>
          </w:p>
          <w:p w14:paraId="519E1B5B" w14:textId="77777777" w:rsidR="0028210F" w:rsidRPr="008A5107" w:rsidRDefault="0028210F" w:rsidP="001F4826">
            <w:pPr>
              <w:pStyle w:val="ListBullet"/>
            </w:pPr>
            <w:r w:rsidRPr="008A5107">
              <w:t>maintain public and industry awareness of electrical safety requirements, and</w:t>
            </w:r>
          </w:p>
          <w:p w14:paraId="398C65F9" w14:textId="77777777" w:rsidR="0028210F" w:rsidRPr="008A5107" w:rsidRDefault="0028210F" w:rsidP="001F4826">
            <w:pPr>
              <w:pStyle w:val="ListBullet"/>
            </w:pPr>
            <w:r w:rsidRPr="008A5107">
              <w:t>ensure the electrical safety of electrical generation, transmission and distribution systems, electrical installations and electrical equipment</w:t>
            </w:r>
            <w:r>
              <w:t>.</w:t>
            </w:r>
            <w:r w:rsidRPr="008A5107">
              <w:t>”</w:t>
            </w:r>
          </w:p>
          <w:p w14:paraId="5A30DB38" w14:textId="77777777" w:rsidR="0028210F" w:rsidRPr="008A5107" w:rsidRDefault="0028210F" w:rsidP="0082392E">
            <w:pPr>
              <w:pStyle w:val="Bodycopy"/>
              <w:rPr>
                <w:highlight w:val="cyan"/>
              </w:rPr>
            </w:pPr>
            <w:r w:rsidRPr="008A5107">
              <w:t xml:space="preserve">The registration of spotters allows ESV to meet its obligations and uphold workplace safety standards.  The </w:t>
            </w:r>
            <w:r>
              <w:t>22597</w:t>
            </w:r>
            <w:r w:rsidRPr="008A5107">
              <w:t>VIC Course in Workplace Spotting for Service Assets is a requisite part of the</w:t>
            </w:r>
            <w:r>
              <w:t xml:space="preserve"> Spotter registration process. </w:t>
            </w:r>
          </w:p>
          <w:p w14:paraId="1F56E46A" w14:textId="77777777" w:rsidR="0028210F" w:rsidRDefault="0028210F" w:rsidP="0082392E">
            <w:pPr>
              <w:pStyle w:val="Bodycopy"/>
            </w:pPr>
            <w:r>
              <w:t xml:space="preserve">Spotters work within the construction industry, which involves the </w:t>
            </w:r>
            <w:r w:rsidRPr="00057AB4">
              <w:t xml:space="preserve">construction, demolition, renovation, maintenance or repair of building and infrastructure. </w:t>
            </w:r>
            <w:r>
              <w:t>According to the National Skills Commission, construction accounts for 9% of the Australian workforce</w:t>
            </w:r>
            <w:r>
              <w:rPr>
                <w:rStyle w:val="FootnoteReference"/>
              </w:rPr>
              <w:footnoteReference w:id="2"/>
            </w:r>
            <w:r>
              <w:t xml:space="preserve">; it </w:t>
            </w:r>
            <w:r>
              <w:rPr>
                <w:color w:val="202124"/>
                <w:shd w:val="clear" w:color="auto" w:fill="FFFFFF"/>
              </w:rPr>
              <w:t xml:space="preserve">generates over $360 billion in revenue and has the third largest industry share of total </w:t>
            </w:r>
            <w:r w:rsidRPr="001657C1">
              <w:rPr>
                <w:color w:val="202124"/>
                <w:shd w:val="clear" w:color="auto" w:fill="FFFFFF"/>
              </w:rPr>
              <w:t>GDP</w:t>
            </w:r>
            <w:r>
              <w:rPr>
                <w:color w:val="202124"/>
                <w:shd w:val="clear" w:color="auto" w:fill="FFFFFF"/>
              </w:rPr>
              <w:t xml:space="preserve"> for the country</w:t>
            </w:r>
            <w:r>
              <w:rPr>
                <w:rStyle w:val="FootnoteReference"/>
                <w:color w:val="202124"/>
                <w:shd w:val="clear" w:color="auto" w:fill="FFFFFF"/>
              </w:rPr>
              <w:footnoteReference w:id="3"/>
            </w:r>
            <w:r>
              <w:rPr>
                <w:color w:val="202124"/>
                <w:shd w:val="clear" w:color="auto" w:fill="FFFFFF"/>
              </w:rPr>
              <w:t xml:space="preserve">.  It is a significant contributor to the nation’s economy and workplace safety within the industry is a strong focus. </w:t>
            </w:r>
          </w:p>
          <w:p w14:paraId="63856DA7" w14:textId="18BF1F22" w:rsidR="0028210F" w:rsidRDefault="0028210F" w:rsidP="0082392E">
            <w:pPr>
              <w:pStyle w:val="Bodycopy"/>
            </w:pPr>
            <w:r>
              <w:t>ESV compiles statistics of electrical fatalities and serious incidents related to electricity generally, as well as specific statistics of electrocution caused by contact with overhead or underground power supply lines.  In terms of general electrical safety, for the four years to 2018 electricity has either caused or been involved in the death of at least 11 people, and either caused or been involved in the serious injury of 25 people</w:t>
            </w:r>
            <w:r>
              <w:rPr>
                <w:rStyle w:val="FootnoteReference"/>
              </w:rPr>
              <w:footnoteReference w:id="4"/>
            </w:r>
            <w:r>
              <w:t>.  The industry considers this unacceptable. Over the fourteen years to 2019, ESV reports a declining trend of total deaths and serious injuries related to electricity and gas</w:t>
            </w:r>
            <w:r>
              <w:rPr>
                <w:rStyle w:val="FootnoteReference"/>
              </w:rPr>
              <w:footnoteReference w:id="5"/>
            </w:r>
            <w:r>
              <w:t>.  This is consistent with the broader industry trends reported by Safe</w:t>
            </w:r>
            <w:r w:rsidR="003E7692">
              <w:t>W</w:t>
            </w:r>
            <w:r>
              <w:t>ork Australia</w:t>
            </w:r>
            <w:r>
              <w:rPr>
                <w:rStyle w:val="FootnoteReference"/>
              </w:rPr>
              <w:footnoteReference w:id="6"/>
            </w:r>
            <w:r>
              <w:t>.  Improved safety standards and training is generally attributed to this outcome.</w:t>
            </w:r>
          </w:p>
          <w:p w14:paraId="10CC93E3" w14:textId="77777777" w:rsidR="0028210F" w:rsidRDefault="0028210F" w:rsidP="0082392E">
            <w:pPr>
              <w:pStyle w:val="Bodycopy"/>
            </w:pPr>
            <w:r>
              <w:t>With regard to specific statistics of incidents of mobile plant contact with overhead and underground assets (in the No Go Zone), ESV collates this data on a regular basis, as this can cause fatality or injury.  Recent statistic shows a total of twenty-two (22) cases of contact for the three months to March 2021, the majority being by backhoes and excavators. Seven (7) of the twenty-two (22) cases were in contact with high voltage supply lines.</w:t>
            </w:r>
          </w:p>
          <w:p w14:paraId="13521461" w14:textId="4060EE0A" w:rsidR="0028210F" w:rsidRDefault="0028210F" w:rsidP="0082392E">
            <w:pPr>
              <w:pStyle w:val="Bodycopy"/>
            </w:pPr>
            <w:r>
              <w:t xml:space="preserve">While none resulted in fatalities, the high risk nature of the work requires registered spotters undertake refresher training </w:t>
            </w:r>
            <w:r w:rsidRPr="0049154A">
              <w:t>every three years</w:t>
            </w:r>
            <w:r>
              <w:t xml:space="preserve">. From November 2020 to March 2021, ESV has registered approximately 222 </w:t>
            </w:r>
            <w:r w:rsidR="003E7692">
              <w:t>s</w:t>
            </w:r>
            <w:r>
              <w:t>potters per month</w:t>
            </w:r>
            <w:r>
              <w:rPr>
                <w:rStyle w:val="FootnoteReference"/>
              </w:rPr>
              <w:footnoteReference w:id="7"/>
            </w:r>
            <w:r>
              <w:t xml:space="preserve">.  </w:t>
            </w:r>
          </w:p>
          <w:p w14:paraId="4EE48775" w14:textId="77777777" w:rsidR="0028210F" w:rsidRPr="0098245B" w:rsidRDefault="0028210F" w:rsidP="001F4826">
            <w:pPr>
              <w:pStyle w:val="Normal1"/>
              <w:rPr>
                <w:rFonts w:ascii="Arial" w:hAnsi="Arial"/>
                <w:color w:val="auto"/>
                <w:sz w:val="22"/>
                <w:szCs w:val="22"/>
                <w:lang w:val="en-AU" w:eastAsia="en-US"/>
              </w:rPr>
            </w:pPr>
            <w:r>
              <w:rPr>
                <w:rFonts w:ascii="Arial" w:hAnsi="Arial"/>
                <w:color w:val="auto"/>
                <w:sz w:val="22"/>
                <w:szCs w:val="22"/>
                <w:lang w:val="en-AU" w:eastAsia="en-US"/>
              </w:rPr>
              <w:t xml:space="preserve">This course is the basis of initial spotter and refresher training. It </w:t>
            </w:r>
            <w:r w:rsidRPr="0098245B">
              <w:rPr>
                <w:rFonts w:ascii="Arial" w:hAnsi="Arial"/>
                <w:color w:val="auto"/>
                <w:sz w:val="22"/>
                <w:szCs w:val="22"/>
                <w:lang w:val="en-AU" w:eastAsia="en-US"/>
              </w:rPr>
              <w:t xml:space="preserve">provides an accredited training program and vocational outcomes for a person to be registered as a spotter by ESV, when working in the vicinity of overhead and underground </w:t>
            </w:r>
            <w:r>
              <w:rPr>
                <w:rFonts w:ascii="Arial" w:hAnsi="Arial"/>
                <w:color w:val="auto"/>
                <w:sz w:val="22"/>
                <w:szCs w:val="22"/>
                <w:lang w:val="en-AU" w:eastAsia="en-US"/>
              </w:rPr>
              <w:t xml:space="preserve">assets of plant and equipment. </w:t>
            </w:r>
            <w:r w:rsidRPr="0098245B">
              <w:rPr>
                <w:rFonts w:ascii="Arial" w:hAnsi="Arial"/>
                <w:color w:val="auto"/>
                <w:sz w:val="22"/>
                <w:szCs w:val="22"/>
                <w:lang w:val="en-AU" w:eastAsia="en-US"/>
              </w:rPr>
              <w:t>The pathway to registration upon successful completion of training and assessment affirms the requisite safety standards have been met and contributes to the maintenance of building activity by:</w:t>
            </w:r>
          </w:p>
          <w:p w14:paraId="302D7284" w14:textId="77777777" w:rsidR="0028210F" w:rsidRPr="0098245B" w:rsidRDefault="0028210F" w:rsidP="001F4826">
            <w:pPr>
              <w:pStyle w:val="ListBullet"/>
              <w:rPr>
                <w:lang w:val="en-AU" w:eastAsia="en-US"/>
              </w:rPr>
            </w:pPr>
            <w:r w:rsidRPr="0098245B">
              <w:rPr>
                <w:lang w:val="en-AU" w:eastAsia="en-US"/>
              </w:rPr>
              <w:t>ensuring an adequate supply of appropriately trained labour for the industry</w:t>
            </w:r>
          </w:p>
          <w:p w14:paraId="5A8EF1B7" w14:textId="77777777" w:rsidR="0028210F" w:rsidRDefault="0028210F" w:rsidP="001F4826">
            <w:pPr>
              <w:pStyle w:val="ListBullet"/>
            </w:pPr>
            <w:r w:rsidRPr="0098245B">
              <w:t>reducing downtime and work cover claims as a result of decreases in work related injuries.</w:t>
            </w:r>
          </w:p>
          <w:p w14:paraId="38DBE96D" w14:textId="77777777" w:rsidR="0028210F" w:rsidRDefault="0028210F" w:rsidP="0082392E">
            <w:pPr>
              <w:pStyle w:val="Bodycopy"/>
            </w:pPr>
            <w:r>
              <w:t xml:space="preserve">Demand for spotting into the future is reflected in employment forecasts for the industry more broadly. </w:t>
            </w:r>
            <w:r w:rsidRPr="00E6669E">
              <w:t xml:space="preserve">In 2020, employment in the </w:t>
            </w:r>
            <w:r>
              <w:t xml:space="preserve">total construction </w:t>
            </w:r>
            <w:r w:rsidRPr="00E6669E">
              <w:t>sector reached just under 1,180,000</w:t>
            </w:r>
            <w:r>
              <w:t xml:space="preserve">; it </w:t>
            </w:r>
            <w:r w:rsidRPr="00E6669E">
              <w:t>is projected to exceed 1,282,000 by 2024</w:t>
            </w:r>
            <w:r>
              <w:rPr>
                <w:rStyle w:val="FootnoteReference"/>
              </w:rPr>
              <w:footnoteReference w:id="8"/>
            </w:r>
            <w:r w:rsidRPr="00E6669E">
              <w:t xml:space="preserve"> , </w:t>
            </w:r>
            <w:r>
              <w:t>representing</w:t>
            </w:r>
            <w:r w:rsidRPr="00E6669E">
              <w:t xml:space="preserve"> an increase of </w:t>
            </w:r>
            <w:r>
              <w:t>approximately 8</w:t>
            </w:r>
            <w:r w:rsidRPr="00E6669E">
              <w:t>%</w:t>
            </w:r>
            <w:r>
              <w:t xml:space="preserve"> over four years.  Spotting related duties could reasonably be expected to rise in line with that trend.  </w:t>
            </w:r>
          </w:p>
          <w:p w14:paraId="6796BC4F" w14:textId="77777777" w:rsidR="0028210F" w:rsidRPr="00541350" w:rsidRDefault="0028210F" w:rsidP="0082392E">
            <w:pPr>
              <w:pStyle w:val="Bold"/>
            </w:pPr>
            <w:r w:rsidRPr="00541350">
              <w:t>Target group/cohort</w:t>
            </w:r>
          </w:p>
          <w:p w14:paraId="1CC30801" w14:textId="77777777" w:rsidR="0028210F" w:rsidRDefault="0028210F" w:rsidP="0082392E">
            <w:pPr>
              <w:pStyle w:val="Bodycopy"/>
            </w:pPr>
            <w:r>
              <w:t>The proposed course is intended for general labourers who have worked in the building and construction, or civil construction industries and wish to operate as a registered Spotter.  They are not expected to have knowledge of electricity prior to course entry.</w:t>
            </w:r>
          </w:p>
          <w:p w14:paraId="0116D806" w14:textId="77777777" w:rsidR="0028210F" w:rsidRPr="00F55E1A" w:rsidRDefault="0028210F" w:rsidP="0082392E">
            <w:pPr>
              <w:pStyle w:val="Bold"/>
            </w:pPr>
            <w:r>
              <w:t xml:space="preserve">Demand </w:t>
            </w:r>
            <w:r w:rsidRPr="00F55E1A">
              <w:t>for the course</w:t>
            </w:r>
          </w:p>
          <w:p w14:paraId="646A007F" w14:textId="77777777" w:rsidR="0028210F" w:rsidRDefault="0028210F" w:rsidP="0082392E">
            <w:pPr>
              <w:pStyle w:val="Bodycopy"/>
            </w:pPr>
            <w:r w:rsidRPr="00CA6277">
              <w:t xml:space="preserve">ESV requires a three-year training cycle for </w:t>
            </w:r>
            <w:r>
              <w:t>Spotter</w:t>
            </w:r>
            <w:r w:rsidRPr="00CA6277">
              <w:t xml:space="preserve"> re- registration. Therefore, course demand is fed by new entrants to the industry and the existing ‘spotting’ labour pool seeking to maintain their currency. </w:t>
            </w:r>
            <w:r>
              <w:t xml:space="preserve"> </w:t>
            </w:r>
          </w:p>
          <w:p w14:paraId="51A1E952" w14:textId="77777777" w:rsidR="0028210F" w:rsidRDefault="0028210F" w:rsidP="0082392E">
            <w:pPr>
              <w:pStyle w:val="Bodycopy"/>
            </w:pPr>
            <w:r>
              <w:t>Employers want skilled and informed workers who are able to uphold safety standards and reduce the incidence of workplace accidents and associated WorkSafe claims.</w:t>
            </w:r>
          </w:p>
          <w:p w14:paraId="0B3BF2A1" w14:textId="77777777" w:rsidR="0028210F" w:rsidRDefault="0028210F" w:rsidP="0082392E">
            <w:pPr>
              <w:pStyle w:val="Bodycopy"/>
            </w:pPr>
          </w:p>
          <w:p w14:paraId="15D7C2FD" w14:textId="77777777" w:rsidR="0028210F" w:rsidRDefault="0028210F" w:rsidP="0082392E">
            <w:pPr>
              <w:pStyle w:val="Bodycopy"/>
            </w:pPr>
            <w:r>
              <w:t>Department of Education course enrolment data is displayed in Table One below.</w:t>
            </w:r>
          </w:p>
          <w:p w14:paraId="116015BE" w14:textId="77777777" w:rsidR="0028210F" w:rsidRDefault="0028210F" w:rsidP="0082392E">
            <w:pPr>
              <w:pStyle w:val="Bodycopy"/>
            </w:pPr>
            <w:r>
              <w:t>*denotes six (6) months only</w:t>
            </w:r>
          </w:p>
          <w:tbl>
            <w:tblPr>
              <w:tblStyle w:val="TableGrid"/>
              <w:tblW w:w="0" w:type="auto"/>
              <w:tblLayout w:type="fixed"/>
              <w:tblLook w:val="04A0" w:firstRow="1" w:lastRow="0" w:firstColumn="1" w:lastColumn="0" w:noHBand="0" w:noVBand="1"/>
            </w:tblPr>
            <w:tblGrid>
              <w:gridCol w:w="1129"/>
              <w:gridCol w:w="1560"/>
              <w:gridCol w:w="1559"/>
              <w:gridCol w:w="1417"/>
            </w:tblGrid>
            <w:tr w:rsidR="0028210F" w14:paraId="535AE702" w14:textId="77777777" w:rsidTr="001F4826">
              <w:tc>
                <w:tcPr>
                  <w:tcW w:w="5665" w:type="dxa"/>
                  <w:gridSpan w:val="4"/>
                </w:tcPr>
                <w:p w14:paraId="2E2EC57C" w14:textId="77777777" w:rsidR="0028210F" w:rsidRDefault="0028210F" w:rsidP="001F4826">
                  <w:r>
                    <w:t>Table One:  Course Enrolments</w:t>
                  </w:r>
                </w:p>
              </w:tc>
            </w:tr>
            <w:tr w:rsidR="0028210F" w14:paraId="0730C939" w14:textId="77777777" w:rsidTr="001F4826">
              <w:tc>
                <w:tcPr>
                  <w:tcW w:w="1129" w:type="dxa"/>
                </w:tcPr>
                <w:p w14:paraId="615D2412" w14:textId="77777777" w:rsidR="0028210F" w:rsidRDefault="0028210F" w:rsidP="001F4826">
                  <w:r w:rsidRPr="0008621D">
                    <w:rPr>
                      <w:rFonts w:eastAsia="Arial" w:cs="Arial"/>
                      <w:szCs w:val="20"/>
                    </w:rPr>
                    <w:t>Year</w:t>
                  </w:r>
                </w:p>
              </w:tc>
              <w:tc>
                <w:tcPr>
                  <w:tcW w:w="1560" w:type="dxa"/>
                </w:tcPr>
                <w:p w14:paraId="4D3DB967" w14:textId="77777777" w:rsidR="0028210F" w:rsidRDefault="0028210F" w:rsidP="001F4826">
                  <w:r w:rsidRPr="0008621D">
                    <w:rPr>
                      <w:rFonts w:eastAsia="Arial" w:cs="Arial"/>
                      <w:szCs w:val="20"/>
                    </w:rPr>
                    <w:t>Government Subsidised Enrolments</w:t>
                  </w:r>
                </w:p>
              </w:tc>
              <w:tc>
                <w:tcPr>
                  <w:tcW w:w="1559" w:type="dxa"/>
                </w:tcPr>
                <w:p w14:paraId="53FE8FB7" w14:textId="77777777" w:rsidR="0028210F" w:rsidRDefault="0028210F" w:rsidP="001F4826">
                  <w:r w:rsidRPr="0008621D">
                    <w:rPr>
                      <w:rFonts w:eastAsia="Arial" w:cs="Arial"/>
                      <w:szCs w:val="20"/>
                    </w:rPr>
                    <w:t>Fee Paying Enrolments</w:t>
                  </w:r>
                </w:p>
              </w:tc>
              <w:tc>
                <w:tcPr>
                  <w:tcW w:w="1417" w:type="dxa"/>
                </w:tcPr>
                <w:p w14:paraId="67DC3D83" w14:textId="77777777" w:rsidR="0028210F" w:rsidRDefault="0028210F" w:rsidP="001F4826">
                  <w:r w:rsidRPr="0008621D">
                    <w:rPr>
                      <w:rFonts w:eastAsia="Arial" w:cs="Arial"/>
                      <w:szCs w:val="20"/>
                    </w:rPr>
                    <w:t>Total Enrolments</w:t>
                  </w:r>
                </w:p>
              </w:tc>
            </w:tr>
            <w:tr w:rsidR="0028210F" w14:paraId="4B0B4A0D" w14:textId="77777777" w:rsidTr="001F4826">
              <w:tc>
                <w:tcPr>
                  <w:tcW w:w="1129" w:type="dxa"/>
                </w:tcPr>
                <w:p w14:paraId="75A44221" w14:textId="77777777" w:rsidR="0028210F" w:rsidRDefault="0028210F" w:rsidP="001F4826">
                  <w:pPr>
                    <w:spacing w:after="120"/>
                  </w:pPr>
                  <w:r w:rsidRPr="0008621D">
                    <w:rPr>
                      <w:rFonts w:eastAsia="Arial" w:cs="Arial"/>
                      <w:szCs w:val="20"/>
                    </w:rPr>
                    <w:t>2018</w:t>
                  </w:r>
                </w:p>
              </w:tc>
              <w:tc>
                <w:tcPr>
                  <w:tcW w:w="1560" w:type="dxa"/>
                </w:tcPr>
                <w:p w14:paraId="3989F58F" w14:textId="77777777" w:rsidR="0028210F" w:rsidRDefault="0028210F" w:rsidP="001F4826">
                  <w:pPr>
                    <w:spacing w:after="120"/>
                  </w:pPr>
                  <w:r w:rsidRPr="0008621D">
                    <w:rPr>
                      <w:rFonts w:eastAsia="Arial" w:cs="Arial"/>
                      <w:szCs w:val="20"/>
                    </w:rPr>
                    <w:t>315</w:t>
                  </w:r>
                </w:p>
              </w:tc>
              <w:tc>
                <w:tcPr>
                  <w:tcW w:w="1559" w:type="dxa"/>
                </w:tcPr>
                <w:p w14:paraId="7C9E354E" w14:textId="77777777" w:rsidR="0028210F" w:rsidRDefault="0028210F" w:rsidP="001F4826">
                  <w:pPr>
                    <w:spacing w:after="120"/>
                  </w:pPr>
                  <w:r w:rsidRPr="0008621D">
                    <w:rPr>
                      <w:rFonts w:eastAsia="Arial" w:cs="Arial"/>
                      <w:szCs w:val="20"/>
                    </w:rPr>
                    <w:t>971</w:t>
                  </w:r>
                </w:p>
              </w:tc>
              <w:tc>
                <w:tcPr>
                  <w:tcW w:w="1417" w:type="dxa"/>
                </w:tcPr>
                <w:p w14:paraId="5C6FE0AE" w14:textId="77777777" w:rsidR="0028210F" w:rsidRDefault="0028210F" w:rsidP="001F4826">
                  <w:pPr>
                    <w:spacing w:after="120"/>
                  </w:pPr>
                  <w:r w:rsidRPr="0008621D">
                    <w:rPr>
                      <w:rFonts w:eastAsia="Arial" w:cs="Arial"/>
                      <w:szCs w:val="20"/>
                    </w:rPr>
                    <w:t>1286</w:t>
                  </w:r>
                </w:p>
              </w:tc>
            </w:tr>
            <w:tr w:rsidR="0028210F" w14:paraId="7F4361C7" w14:textId="77777777" w:rsidTr="001F4826">
              <w:tc>
                <w:tcPr>
                  <w:tcW w:w="1129" w:type="dxa"/>
                </w:tcPr>
                <w:p w14:paraId="0B24C292" w14:textId="77777777" w:rsidR="0028210F" w:rsidRDefault="0028210F" w:rsidP="001F4826">
                  <w:pPr>
                    <w:spacing w:after="120"/>
                  </w:pPr>
                  <w:r w:rsidRPr="0008621D">
                    <w:rPr>
                      <w:rFonts w:eastAsia="Arial" w:cs="Arial"/>
                      <w:szCs w:val="20"/>
                    </w:rPr>
                    <w:t>2019</w:t>
                  </w:r>
                </w:p>
              </w:tc>
              <w:tc>
                <w:tcPr>
                  <w:tcW w:w="1560" w:type="dxa"/>
                </w:tcPr>
                <w:p w14:paraId="1C491975" w14:textId="77777777" w:rsidR="0028210F" w:rsidRDefault="0028210F" w:rsidP="001F4826">
                  <w:pPr>
                    <w:spacing w:after="120"/>
                  </w:pPr>
                  <w:r w:rsidRPr="0008621D">
                    <w:rPr>
                      <w:rFonts w:eastAsia="Arial" w:cs="Arial"/>
                      <w:szCs w:val="20"/>
                    </w:rPr>
                    <w:t>246</w:t>
                  </w:r>
                </w:p>
              </w:tc>
              <w:tc>
                <w:tcPr>
                  <w:tcW w:w="1559" w:type="dxa"/>
                </w:tcPr>
                <w:p w14:paraId="3B625CBE" w14:textId="77777777" w:rsidR="0028210F" w:rsidRDefault="0028210F" w:rsidP="001F4826">
                  <w:pPr>
                    <w:spacing w:after="120"/>
                  </w:pPr>
                  <w:r w:rsidRPr="0008621D">
                    <w:rPr>
                      <w:rFonts w:eastAsia="Arial" w:cs="Arial"/>
                      <w:szCs w:val="20"/>
                    </w:rPr>
                    <w:t>466</w:t>
                  </w:r>
                </w:p>
              </w:tc>
              <w:tc>
                <w:tcPr>
                  <w:tcW w:w="1417" w:type="dxa"/>
                </w:tcPr>
                <w:p w14:paraId="478CCA8D" w14:textId="77777777" w:rsidR="0028210F" w:rsidRDefault="0028210F" w:rsidP="001F4826">
                  <w:pPr>
                    <w:spacing w:after="120"/>
                  </w:pPr>
                  <w:r w:rsidRPr="0008621D">
                    <w:rPr>
                      <w:rFonts w:eastAsia="Arial" w:cs="Arial"/>
                      <w:szCs w:val="20"/>
                    </w:rPr>
                    <w:t>712</w:t>
                  </w:r>
                </w:p>
              </w:tc>
            </w:tr>
            <w:tr w:rsidR="0028210F" w14:paraId="4C67A420" w14:textId="77777777" w:rsidTr="001F4826">
              <w:tc>
                <w:tcPr>
                  <w:tcW w:w="1129" w:type="dxa"/>
                </w:tcPr>
                <w:p w14:paraId="570B1856" w14:textId="77777777" w:rsidR="0028210F" w:rsidRDefault="0028210F" w:rsidP="001F4826">
                  <w:pPr>
                    <w:spacing w:after="120"/>
                  </w:pPr>
                  <w:r w:rsidRPr="0008621D">
                    <w:rPr>
                      <w:rFonts w:eastAsia="Arial" w:cs="Arial"/>
                      <w:szCs w:val="20"/>
                    </w:rPr>
                    <w:t>2020</w:t>
                  </w:r>
                </w:p>
              </w:tc>
              <w:tc>
                <w:tcPr>
                  <w:tcW w:w="1560" w:type="dxa"/>
                </w:tcPr>
                <w:p w14:paraId="5FB17D9F" w14:textId="77777777" w:rsidR="0028210F" w:rsidRDefault="0028210F" w:rsidP="001F4826">
                  <w:pPr>
                    <w:spacing w:after="120"/>
                  </w:pPr>
                  <w:r w:rsidRPr="0008621D">
                    <w:rPr>
                      <w:rFonts w:eastAsia="Arial" w:cs="Arial"/>
                      <w:szCs w:val="20"/>
                    </w:rPr>
                    <w:t>162</w:t>
                  </w:r>
                </w:p>
              </w:tc>
              <w:tc>
                <w:tcPr>
                  <w:tcW w:w="1559" w:type="dxa"/>
                </w:tcPr>
                <w:p w14:paraId="372D298F" w14:textId="77777777" w:rsidR="0028210F" w:rsidRDefault="0028210F" w:rsidP="001F4826">
                  <w:pPr>
                    <w:spacing w:after="120"/>
                  </w:pPr>
                  <w:r w:rsidRPr="0008621D">
                    <w:rPr>
                      <w:rFonts w:eastAsia="Arial" w:cs="Arial"/>
                      <w:szCs w:val="20"/>
                    </w:rPr>
                    <w:t>332</w:t>
                  </w:r>
                </w:p>
              </w:tc>
              <w:tc>
                <w:tcPr>
                  <w:tcW w:w="1417" w:type="dxa"/>
                </w:tcPr>
                <w:p w14:paraId="5AA022E5" w14:textId="77777777" w:rsidR="0028210F" w:rsidRDefault="0028210F" w:rsidP="001F4826">
                  <w:pPr>
                    <w:spacing w:after="120"/>
                  </w:pPr>
                  <w:r w:rsidRPr="0008621D">
                    <w:rPr>
                      <w:rFonts w:eastAsia="Arial" w:cs="Arial"/>
                      <w:szCs w:val="20"/>
                    </w:rPr>
                    <w:t>494</w:t>
                  </w:r>
                </w:p>
              </w:tc>
            </w:tr>
            <w:tr w:rsidR="0028210F" w14:paraId="701D5374" w14:textId="77777777" w:rsidTr="001F4826">
              <w:tc>
                <w:tcPr>
                  <w:tcW w:w="1129" w:type="dxa"/>
                </w:tcPr>
                <w:p w14:paraId="3F103FE9" w14:textId="77777777" w:rsidR="0028210F" w:rsidRPr="0008621D" w:rsidRDefault="0028210F" w:rsidP="001F4826">
                  <w:pPr>
                    <w:spacing w:after="120"/>
                    <w:rPr>
                      <w:rFonts w:eastAsia="Arial" w:cs="Arial"/>
                      <w:szCs w:val="20"/>
                    </w:rPr>
                  </w:pPr>
                  <w:r>
                    <w:rPr>
                      <w:rFonts w:eastAsia="Arial" w:cs="Arial"/>
                      <w:szCs w:val="20"/>
                    </w:rPr>
                    <w:t>2021</w:t>
                  </w:r>
                </w:p>
              </w:tc>
              <w:tc>
                <w:tcPr>
                  <w:tcW w:w="1560" w:type="dxa"/>
                </w:tcPr>
                <w:p w14:paraId="6D7090C7" w14:textId="77777777" w:rsidR="0028210F" w:rsidRPr="0008621D" w:rsidRDefault="0028210F" w:rsidP="001F4826">
                  <w:pPr>
                    <w:spacing w:after="120"/>
                    <w:rPr>
                      <w:rFonts w:eastAsia="Arial" w:cs="Arial"/>
                      <w:szCs w:val="20"/>
                    </w:rPr>
                  </w:pPr>
                  <w:r>
                    <w:rPr>
                      <w:rFonts w:eastAsia="Arial" w:cs="Arial"/>
                      <w:szCs w:val="20"/>
                    </w:rPr>
                    <w:t>97</w:t>
                  </w:r>
                </w:p>
              </w:tc>
              <w:tc>
                <w:tcPr>
                  <w:tcW w:w="1559" w:type="dxa"/>
                </w:tcPr>
                <w:p w14:paraId="126F18E8" w14:textId="77777777" w:rsidR="0028210F" w:rsidRPr="0008621D" w:rsidRDefault="0028210F" w:rsidP="001F4826">
                  <w:pPr>
                    <w:spacing w:after="120"/>
                    <w:rPr>
                      <w:rFonts w:eastAsia="Arial" w:cs="Arial"/>
                      <w:szCs w:val="20"/>
                    </w:rPr>
                  </w:pPr>
                  <w:r>
                    <w:rPr>
                      <w:rFonts w:eastAsia="Arial" w:cs="Arial"/>
                      <w:szCs w:val="20"/>
                    </w:rPr>
                    <w:t>970</w:t>
                  </w:r>
                </w:p>
              </w:tc>
              <w:tc>
                <w:tcPr>
                  <w:tcW w:w="1417" w:type="dxa"/>
                </w:tcPr>
                <w:p w14:paraId="4B1B4470" w14:textId="77777777" w:rsidR="0028210F" w:rsidRPr="0008621D" w:rsidRDefault="0028210F" w:rsidP="001F4826">
                  <w:pPr>
                    <w:spacing w:after="120"/>
                    <w:rPr>
                      <w:rFonts w:eastAsia="Arial" w:cs="Arial"/>
                      <w:szCs w:val="20"/>
                    </w:rPr>
                  </w:pPr>
                  <w:r>
                    <w:rPr>
                      <w:rFonts w:eastAsia="Arial" w:cs="Arial"/>
                      <w:szCs w:val="20"/>
                    </w:rPr>
                    <w:t>1067</w:t>
                  </w:r>
                </w:p>
              </w:tc>
            </w:tr>
            <w:tr w:rsidR="0028210F" w14:paraId="35BDCD06" w14:textId="77777777" w:rsidTr="001F4826">
              <w:tc>
                <w:tcPr>
                  <w:tcW w:w="1129" w:type="dxa"/>
                </w:tcPr>
                <w:p w14:paraId="30177005" w14:textId="77777777" w:rsidR="0028210F" w:rsidRDefault="0028210F" w:rsidP="001F4826">
                  <w:pPr>
                    <w:spacing w:after="120"/>
                    <w:rPr>
                      <w:rFonts w:eastAsia="Arial" w:cs="Arial"/>
                      <w:szCs w:val="20"/>
                    </w:rPr>
                  </w:pPr>
                  <w:r>
                    <w:rPr>
                      <w:rFonts w:eastAsia="Arial" w:cs="Arial"/>
                      <w:szCs w:val="20"/>
                    </w:rPr>
                    <w:t>2022*</w:t>
                  </w:r>
                </w:p>
              </w:tc>
              <w:tc>
                <w:tcPr>
                  <w:tcW w:w="1560" w:type="dxa"/>
                </w:tcPr>
                <w:p w14:paraId="0E31326E" w14:textId="77777777" w:rsidR="0028210F" w:rsidRDefault="0028210F" w:rsidP="001F4826">
                  <w:pPr>
                    <w:spacing w:after="120"/>
                    <w:rPr>
                      <w:rFonts w:eastAsia="Arial" w:cs="Arial"/>
                      <w:szCs w:val="20"/>
                    </w:rPr>
                  </w:pPr>
                  <w:r>
                    <w:rPr>
                      <w:rFonts w:eastAsia="Arial" w:cs="Arial"/>
                      <w:szCs w:val="20"/>
                    </w:rPr>
                    <w:t>0</w:t>
                  </w:r>
                </w:p>
              </w:tc>
              <w:tc>
                <w:tcPr>
                  <w:tcW w:w="1559" w:type="dxa"/>
                </w:tcPr>
                <w:p w14:paraId="10686BCC" w14:textId="77777777" w:rsidR="0028210F" w:rsidRDefault="0028210F" w:rsidP="001F4826">
                  <w:pPr>
                    <w:spacing w:after="120"/>
                    <w:rPr>
                      <w:rFonts w:eastAsia="Arial" w:cs="Arial"/>
                      <w:szCs w:val="20"/>
                    </w:rPr>
                  </w:pPr>
                  <w:r>
                    <w:rPr>
                      <w:rFonts w:eastAsia="Arial" w:cs="Arial"/>
                      <w:szCs w:val="20"/>
                    </w:rPr>
                    <w:t>54</w:t>
                  </w:r>
                </w:p>
              </w:tc>
              <w:tc>
                <w:tcPr>
                  <w:tcW w:w="1417" w:type="dxa"/>
                </w:tcPr>
                <w:p w14:paraId="10FC2FAD" w14:textId="77777777" w:rsidR="0028210F" w:rsidRPr="0008621D" w:rsidRDefault="0028210F" w:rsidP="001F4826">
                  <w:pPr>
                    <w:spacing w:after="120"/>
                    <w:rPr>
                      <w:rFonts w:eastAsia="Arial" w:cs="Arial"/>
                      <w:szCs w:val="20"/>
                    </w:rPr>
                  </w:pPr>
                </w:p>
              </w:tc>
            </w:tr>
          </w:tbl>
          <w:p w14:paraId="4D6F3C77" w14:textId="77777777" w:rsidR="0028210F" w:rsidRPr="00B8268B" w:rsidRDefault="0028210F" w:rsidP="0082392E">
            <w:pPr>
              <w:pStyle w:val="Bold"/>
            </w:pPr>
            <w:r w:rsidRPr="00B8268B">
              <w:t>Course consultation and validation process</w:t>
            </w:r>
          </w:p>
          <w:p w14:paraId="3F6F808A" w14:textId="77777777" w:rsidR="0028210F" w:rsidRDefault="0028210F" w:rsidP="0082392E">
            <w:pPr>
              <w:pStyle w:val="Bodycopy"/>
            </w:pPr>
            <w:r>
              <w:t>Project steering committee (PSC) members represented the major stakeholders invested in the curriculum (refer PSC composition).</w:t>
            </w:r>
          </w:p>
          <w:p w14:paraId="33A309C5" w14:textId="77777777" w:rsidR="0028210F" w:rsidRDefault="0028210F" w:rsidP="0082392E">
            <w:pPr>
              <w:pStyle w:val="Bodycopy"/>
            </w:pPr>
            <w:r>
              <w:t>Consultation with the group involved:</w:t>
            </w:r>
          </w:p>
          <w:p w14:paraId="10BAAA07" w14:textId="77777777" w:rsidR="0028210F" w:rsidRDefault="0028210F" w:rsidP="0082392E">
            <w:pPr>
              <w:pStyle w:val="Bodycopy"/>
              <w:numPr>
                <w:ilvl w:val="0"/>
                <w:numId w:val="7"/>
              </w:numPr>
            </w:pPr>
            <w:r>
              <w:t>Email and telephone consultation to form the PSC.</w:t>
            </w:r>
          </w:p>
          <w:p w14:paraId="641991C0" w14:textId="77777777" w:rsidR="0028210F" w:rsidRDefault="0028210F" w:rsidP="001F4826">
            <w:pPr>
              <w:pStyle w:val="ListBullet"/>
            </w:pPr>
            <w:r>
              <w:t>Three PSC meetings held on 29 September 2021, 22 November 2021 and 14 February 2022 to review and evaluate course content and structure in reference to contemporary workplace spotting practices and the Standards for Accredited Courses 2021.</w:t>
            </w:r>
          </w:p>
          <w:p w14:paraId="43F97054" w14:textId="77777777" w:rsidR="0028210F" w:rsidRDefault="0028210F" w:rsidP="001F4826">
            <w:pPr>
              <w:pStyle w:val="ListBullet"/>
            </w:pPr>
            <w:r>
              <w:t>One-on-one meetings with the ESV representative to review potential course amendments.</w:t>
            </w:r>
          </w:p>
          <w:p w14:paraId="535730D7" w14:textId="77777777" w:rsidR="0028210F" w:rsidRDefault="0028210F" w:rsidP="001F4826">
            <w:pPr>
              <w:pStyle w:val="ListBullet"/>
            </w:pPr>
            <w:r>
              <w:t xml:space="preserve">Trainers and assessors of RTO network groups, represented by PSC members, participated in a workshop to review the content of the draft unit. Feedback was evaluated and included where required.  </w:t>
            </w:r>
          </w:p>
          <w:p w14:paraId="52F97847" w14:textId="77777777" w:rsidR="0028210F" w:rsidRDefault="0028210F" w:rsidP="001F4826">
            <w:pPr>
              <w:pStyle w:val="ListBullet"/>
            </w:pPr>
            <w:r>
              <w:t>Desktop reviews of current workplace spotting safety statistics and related research was also undertaken to support the development of the curriculum.</w:t>
            </w:r>
          </w:p>
          <w:p w14:paraId="47882345" w14:textId="77777777" w:rsidR="0028210F" w:rsidRDefault="0028210F" w:rsidP="0082392E">
            <w:pPr>
              <w:pStyle w:val="Bodycopy"/>
            </w:pPr>
            <w:r>
              <w:t>The role of the PSC was to evaluate, confirm and validate the outcomes of the course review. The members also provided technical information and training advice throughout the project.</w:t>
            </w:r>
          </w:p>
          <w:p w14:paraId="4CBDE1FC" w14:textId="77777777" w:rsidR="0028210F" w:rsidRDefault="0028210F" w:rsidP="0082392E">
            <w:pPr>
              <w:pStyle w:val="Bodycopy"/>
            </w:pPr>
            <w:r>
              <w:t>The re-accreditation of the course was guided by a Project Steering Committee (PSC) comprised of the following members:</w:t>
            </w:r>
          </w:p>
          <w:p w14:paraId="51833CAB" w14:textId="77777777" w:rsidR="0028210F" w:rsidRDefault="0028210F" w:rsidP="0082392E">
            <w:pPr>
              <w:pStyle w:val="Bodycopy"/>
            </w:pPr>
          </w:p>
          <w:p w14:paraId="32BB431D" w14:textId="77777777" w:rsidR="0028210F" w:rsidRDefault="0028210F" w:rsidP="0082392E">
            <w:pPr>
              <w:pStyle w:val="Bold"/>
            </w:pPr>
            <w:r>
              <w:t>Members of the steering committee</w:t>
            </w:r>
          </w:p>
          <w:p w14:paraId="550A84F4" w14:textId="77777777" w:rsidR="0028210F" w:rsidRDefault="0028210F" w:rsidP="0082392E">
            <w:pPr>
              <w:pStyle w:val="Bodycopy"/>
            </w:pPr>
            <w:r>
              <w:t>Rob Oldfield</w:t>
            </w:r>
            <w:r>
              <w:tab/>
              <w:t>Work Practices Advisor</w:t>
            </w:r>
          </w:p>
          <w:p w14:paraId="0F9B612E" w14:textId="77777777" w:rsidR="0028210F" w:rsidRDefault="0028210F" w:rsidP="0082392E">
            <w:pPr>
              <w:pStyle w:val="Bodycopy"/>
            </w:pPr>
            <w:r>
              <w:tab/>
              <w:t>Energy Safe Victoria</w:t>
            </w:r>
            <w:r>
              <w:br/>
            </w:r>
          </w:p>
          <w:p w14:paraId="56EBE1B3" w14:textId="77777777" w:rsidR="0028210F" w:rsidRDefault="0028210F" w:rsidP="0082392E">
            <w:pPr>
              <w:pStyle w:val="Bodycopy"/>
            </w:pPr>
            <w:r>
              <w:t>Brian Chamberlin</w:t>
            </w:r>
            <w:r>
              <w:tab/>
              <w:t>Construction Industry Education</w:t>
            </w:r>
          </w:p>
          <w:p w14:paraId="323E6E83" w14:textId="77777777" w:rsidR="0028210F" w:rsidRDefault="0028210F" w:rsidP="0082392E">
            <w:pPr>
              <w:pStyle w:val="Bodycopy"/>
            </w:pPr>
            <w:r>
              <w:tab/>
              <w:t>Officer / Inspector (F1)</w:t>
            </w:r>
          </w:p>
          <w:p w14:paraId="2022734E" w14:textId="54FCC02D" w:rsidR="0028210F" w:rsidRDefault="0028210F" w:rsidP="0082392E">
            <w:pPr>
              <w:pStyle w:val="Bodycopy"/>
            </w:pPr>
            <w:r>
              <w:tab/>
              <w:t xml:space="preserve">Hazardous Industries &amp; </w:t>
            </w:r>
            <w:r>
              <w:br/>
            </w:r>
            <w:r>
              <w:tab/>
              <w:t>Industry</w:t>
            </w:r>
            <w:r w:rsidR="00022C79">
              <w:t xml:space="preserve"> </w:t>
            </w:r>
            <w:r>
              <w:t>Practices</w:t>
            </w:r>
          </w:p>
          <w:p w14:paraId="64AE3766" w14:textId="76CE92BF" w:rsidR="0028210F" w:rsidRDefault="0028210F" w:rsidP="0082392E">
            <w:pPr>
              <w:pStyle w:val="Bodycopy"/>
            </w:pPr>
            <w:r>
              <w:tab/>
              <w:t>Work</w:t>
            </w:r>
            <w:r w:rsidR="007A3901">
              <w:t>S</w:t>
            </w:r>
            <w:r>
              <w:t>afe Victoria</w:t>
            </w:r>
          </w:p>
          <w:p w14:paraId="2FD68D70" w14:textId="77777777" w:rsidR="00022C79" w:rsidRDefault="00022C79" w:rsidP="0082392E">
            <w:pPr>
              <w:pStyle w:val="Bodycopy"/>
            </w:pPr>
          </w:p>
          <w:p w14:paraId="0A902983" w14:textId="77777777" w:rsidR="0028210F" w:rsidRDefault="0028210F" w:rsidP="0082392E">
            <w:pPr>
              <w:pStyle w:val="Bodycopy"/>
            </w:pPr>
            <w:r>
              <w:t>Michael Collins</w:t>
            </w:r>
            <w:r>
              <w:tab/>
              <w:t>Electrical Trades Union</w:t>
            </w:r>
            <w:r>
              <w:br/>
            </w:r>
          </w:p>
          <w:p w14:paraId="579537D1" w14:textId="77777777" w:rsidR="0028210F" w:rsidRDefault="0028210F" w:rsidP="0082392E">
            <w:pPr>
              <w:pStyle w:val="Bodycopy"/>
            </w:pPr>
            <w:r>
              <w:t>Tony Lopez</w:t>
            </w:r>
            <w:r>
              <w:tab/>
              <w:t>Assistant Director</w:t>
            </w:r>
          </w:p>
          <w:p w14:paraId="128B33BB" w14:textId="77777777" w:rsidR="0028210F" w:rsidRDefault="0028210F" w:rsidP="0082392E">
            <w:pPr>
              <w:pStyle w:val="Bodycopy"/>
            </w:pPr>
            <w:r>
              <w:tab/>
              <w:t>OHS Policy</w:t>
            </w:r>
          </w:p>
          <w:p w14:paraId="014C4881" w14:textId="77777777" w:rsidR="0028210F" w:rsidRDefault="0028210F" w:rsidP="0082392E">
            <w:pPr>
              <w:pStyle w:val="Bodycopy"/>
            </w:pPr>
            <w:r>
              <w:tab/>
              <w:t>HIA</w:t>
            </w:r>
            <w:r>
              <w:br/>
            </w:r>
          </w:p>
          <w:p w14:paraId="66863FD9" w14:textId="77777777" w:rsidR="0028210F" w:rsidRDefault="0028210F" w:rsidP="0082392E">
            <w:pPr>
              <w:pStyle w:val="Bodycopy"/>
            </w:pPr>
            <w:r>
              <w:t>Joe Napoli</w:t>
            </w:r>
            <w:r>
              <w:tab/>
              <w:t xml:space="preserve">Civil Contractors </w:t>
            </w:r>
          </w:p>
          <w:p w14:paraId="474C5082" w14:textId="77777777" w:rsidR="0028210F" w:rsidRDefault="0028210F" w:rsidP="0082392E">
            <w:pPr>
              <w:pStyle w:val="Bodycopy"/>
            </w:pPr>
            <w:r>
              <w:tab/>
              <w:t>Federation (CCF)</w:t>
            </w:r>
          </w:p>
          <w:p w14:paraId="55B96703" w14:textId="77777777" w:rsidR="0028210F" w:rsidRDefault="0028210F" w:rsidP="0082392E">
            <w:pPr>
              <w:pStyle w:val="Bodycopy"/>
            </w:pPr>
            <w:r>
              <w:tab/>
              <w:t>Victorian Branch</w:t>
            </w:r>
            <w:r>
              <w:br/>
            </w:r>
          </w:p>
          <w:p w14:paraId="44B1CB7C" w14:textId="77777777" w:rsidR="0028210F" w:rsidRDefault="0028210F" w:rsidP="0082392E">
            <w:pPr>
              <w:pStyle w:val="Bodycopy"/>
            </w:pPr>
            <w:r>
              <w:t>David West</w:t>
            </w:r>
            <w:r>
              <w:tab/>
              <w:t>Active Training Education and</w:t>
            </w:r>
            <w:r>
              <w:br/>
            </w:r>
            <w:r>
              <w:tab/>
              <w:t>Compliance</w:t>
            </w:r>
            <w:r>
              <w:br/>
            </w:r>
          </w:p>
          <w:p w14:paraId="73D83560" w14:textId="77777777" w:rsidR="0028210F" w:rsidRDefault="0028210F" w:rsidP="0082392E">
            <w:pPr>
              <w:pStyle w:val="Bodycopy"/>
            </w:pPr>
            <w:r>
              <w:t>Corrie Williams</w:t>
            </w:r>
            <w:r>
              <w:tab/>
              <w:t>Director, MBTI</w:t>
            </w:r>
          </w:p>
          <w:p w14:paraId="4884A234" w14:textId="77777777" w:rsidR="0028210F" w:rsidRDefault="0028210F" w:rsidP="0082392E">
            <w:pPr>
              <w:pStyle w:val="Bodycopy"/>
            </w:pPr>
            <w:r>
              <w:tab/>
              <w:t>Master Builders Victoria</w:t>
            </w:r>
            <w:r>
              <w:br/>
            </w:r>
          </w:p>
          <w:p w14:paraId="234F8853" w14:textId="77777777" w:rsidR="0028210F" w:rsidRDefault="0028210F" w:rsidP="0082392E">
            <w:pPr>
              <w:pStyle w:val="Bodycopy"/>
            </w:pPr>
            <w:r>
              <w:t>Chris Simpson</w:t>
            </w:r>
            <w:r>
              <w:tab/>
              <w:t>COVE Trainer</w:t>
            </w:r>
            <w:r>
              <w:br/>
            </w:r>
          </w:p>
          <w:p w14:paraId="3D2D8D0D" w14:textId="013A598A" w:rsidR="0028210F" w:rsidRDefault="0028210F" w:rsidP="0082392E">
            <w:pPr>
              <w:pStyle w:val="Bodycopy"/>
            </w:pPr>
            <w:r w:rsidRPr="00810454">
              <w:t xml:space="preserve">Andrew </w:t>
            </w:r>
            <w:r>
              <w:t>Chambers/</w:t>
            </w:r>
            <w:r w:rsidR="00022C79">
              <w:br/>
            </w:r>
            <w:r>
              <w:t>Steven Deer</w:t>
            </w:r>
            <w:r>
              <w:tab/>
              <w:t>CFMEU</w:t>
            </w:r>
          </w:p>
          <w:p w14:paraId="5E082B12" w14:textId="77777777" w:rsidR="00022C79" w:rsidRDefault="00022C79" w:rsidP="0082392E">
            <w:pPr>
              <w:pStyle w:val="Bodycopy"/>
            </w:pPr>
          </w:p>
          <w:p w14:paraId="17890EB5" w14:textId="3689C2EF" w:rsidR="0028210F" w:rsidRDefault="0028210F" w:rsidP="0082392E">
            <w:pPr>
              <w:pStyle w:val="Bodycopy"/>
            </w:pPr>
            <w:r>
              <w:t>In attendance</w:t>
            </w:r>
          </w:p>
          <w:p w14:paraId="0005E736" w14:textId="77777777" w:rsidR="0028210F" w:rsidRDefault="0028210F" w:rsidP="0082392E">
            <w:pPr>
              <w:pStyle w:val="Bodycopy"/>
            </w:pPr>
            <w:r>
              <w:t xml:space="preserve">Teresa Signorello </w:t>
            </w:r>
            <w:r>
              <w:tab/>
              <w:t xml:space="preserve">Curriculum Maintenance Manager </w:t>
            </w:r>
            <w:r>
              <w:br/>
            </w:r>
            <w:r>
              <w:tab/>
              <w:t>(CMM)</w:t>
            </w:r>
            <w:r>
              <w:br/>
            </w:r>
            <w:r>
              <w:tab/>
              <w:t>Building and Construction</w:t>
            </w:r>
            <w:r>
              <w:br/>
            </w:r>
            <w:r>
              <w:tab/>
              <w:t>Holmesglen Institute</w:t>
            </w:r>
          </w:p>
          <w:p w14:paraId="7D83B198" w14:textId="77777777" w:rsidR="0028210F" w:rsidRDefault="0028210F" w:rsidP="0082392E">
            <w:pPr>
              <w:pStyle w:val="Bodycopy"/>
            </w:pPr>
          </w:p>
          <w:p w14:paraId="40411027" w14:textId="77777777" w:rsidR="0028210F" w:rsidRDefault="0028210F" w:rsidP="0082392E">
            <w:pPr>
              <w:pStyle w:val="Bodycopy"/>
            </w:pPr>
            <w:r>
              <w:t>Susan Fechner</w:t>
            </w:r>
            <w:r>
              <w:tab/>
              <w:t>CMM Senior Project Officer</w:t>
            </w:r>
            <w:r>
              <w:br/>
            </w:r>
            <w:r>
              <w:tab/>
              <w:t>Building and Construction</w:t>
            </w:r>
            <w:r>
              <w:br/>
            </w:r>
            <w:r>
              <w:tab/>
              <w:t>Holmesglen Institute</w:t>
            </w:r>
          </w:p>
          <w:p w14:paraId="1B157A38" w14:textId="77777777" w:rsidR="0028210F" w:rsidRDefault="0028210F" w:rsidP="0082392E">
            <w:pPr>
              <w:pStyle w:val="Bodycopy"/>
            </w:pPr>
          </w:p>
          <w:p w14:paraId="21FE65DA" w14:textId="77777777" w:rsidR="0028210F" w:rsidRDefault="0028210F" w:rsidP="0082392E">
            <w:pPr>
              <w:pStyle w:val="Bodycopy"/>
            </w:pPr>
            <w:r>
              <w:t>The 22597VIC Course in Workplace Spotting for Service Assets does not duplicate, by title or coverage, the outcomes of any endorsed training package qualification.</w:t>
            </w:r>
          </w:p>
          <w:p w14:paraId="379615D1" w14:textId="77777777" w:rsidR="0028210F" w:rsidRDefault="0028210F" w:rsidP="0082392E">
            <w:pPr>
              <w:pStyle w:val="Bodycopy"/>
            </w:pPr>
            <w:r>
              <w:t>This course:</w:t>
            </w:r>
          </w:p>
          <w:p w14:paraId="13CFC08E" w14:textId="77777777" w:rsidR="0028210F" w:rsidRDefault="0028210F" w:rsidP="0082392E">
            <w:pPr>
              <w:pStyle w:val="Bodycopy"/>
              <w:numPr>
                <w:ilvl w:val="0"/>
                <w:numId w:val="6"/>
              </w:numPr>
            </w:pPr>
            <w:r>
              <w:t>does not duplicate, by title or coverage, the outcomes of an endorsed training package qualification or skill set</w:t>
            </w:r>
          </w:p>
          <w:p w14:paraId="241AC1F5" w14:textId="77777777" w:rsidR="0028210F" w:rsidRDefault="0028210F" w:rsidP="0082392E">
            <w:pPr>
              <w:pStyle w:val="Bodycopy"/>
              <w:numPr>
                <w:ilvl w:val="0"/>
                <w:numId w:val="6"/>
              </w:numPr>
            </w:pPr>
            <w:r>
              <w:t>is not a subset of a single training package qualification that could be recognised through one or more statements of attainment or a skill set</w:t>
            </w:r>
          </w:p>
          <w:p w14:paraId="318F9A96" w14:textId="77777777" w:rsidR="0028210F" w:rsidRDefault="0028210F" w:rsidP="0082392E">
            <w:pPr>
              <w:pStyle w:val="Bodycopy"/>
              <w:numPr>
                <w:ilvl w:val="0"/>
                <w:numId w:val="6"/>
              </w:numPr>
            </w:pPr>
            <w:r>
              <w:t>does not include units of competency additional to those in a training package qualification that could be recognised through statements of attainment in addition to the qualification</w:t>
            </w:r>
          </w:p>
          <w:p w14:paraId="6D2A4A60" w14:textId="77777777" w:rsidR="0028210F" w:rsidRPr="008A5107" w:rsidRDefault="0028210F" w:rsidP="0082392E">
            <w:pPr>
              <w:pStyle w:val="Bodycopy"/>
              <w:numPr>
                <w:ilvl w:val="0"/>
                <w:numId w:val="6"/>
              </w:numPr>
            </w:pPr>
            <w:r>
              <w:t>does not comprise units that duplicate units of competency of a training package qualification.</w:t>
            </w:r>
          </w:p>
        </w:tc>
      </w:tr>
      <w:tr w:rsidR="0028210F" w:rsidRPr="002C3958" w14:paraId="00840528" w14:textId="77777777" w:rsidTr="001F4826">
        <w:tc>
          <w:tcPr>
            <w:tcW w:w="3182" w:type="dxa"/>
            <w:gridSpan w:val="2"/>
          </w:tcPr>
          <w:p w14:paraId="2737DCB6" w14:textId="77777777" w:rsidR="0028210F" w:rsidRPr="00503421" w:rsidRDefault="0028210F" w:rsidP="001F4826">
            <w:pPr>
              <w:pStyle w:val="SectionBSubsection2"/>
            </w:pPr>
            <w:bookmarkStart w:id="33" w:name="_Toc103624532"/>
            <w:r w:rsidRPr="00503421">
              <w:t>Review for re-accreditation</w:t>
            </w:r>
            <w:bookmarkEnd w:id="33"/>
          </w:p>
        </w:tc>
        <w:tc>
          <w:tcPr>
            <w:tcW w:w="6032" w:type="dxa"/>
            <w:gridSpan w:val="5"/>
            <w:tcBorders>
              <w:bottom w:val="single" w:sz="4" w:space="0" w:color="auto"/>
            </w:tcBorders>
          </w:tcPr>
          <w:p w14:paraId="251AEE36" w14:textId="77777777" w:rsidR="0028210F" w:rsidRPr="00754361" w:rsidRDefault="0028210F" w:rsidP="0082392E">
            <w:pPr>
              <w:pStyle w:val="Bodycopy"/>
            </w:pPr>
            <w:r w:rsidRPr="00754361">
              <w:t>Standards 5.1, 5.2, 5.3 and 5.4 AQTF 2021 Standards for Accredited Courses</w:t>
            </w:r>
          </w:p>
          <w:p w14:paraId="15315B05" w14:textId="77777777" w:rsidR="0028210F" w:rsidRPr="002528F8" w:rsidRDefault="0028210F" w:rsidP="0082392E">
            <w:pPr>
              <w:pStyle w:val="Bodycopy"/>
              <w:rPr>
                <w:rStyle w:val="Strong"/>
                <w:b w:val="0"/>
                <w:bCs/>
              </w:rPr>
            </w:pPr>
            <w:r w:rsidRPr="002528F8">
              <w:rPr>
                <w:rStyle w:val="Strong"/>
                <w:b w:val="0"/>
                <w:bCs/>
              </w:rPr>
              <w:t xml:space="preserve">A mid cycle review of the curriculum was undertaken in </w:t>
            </w:r>
            <w:r w:rsidRPr="002528F8">
              <w:t xml:space="preserve">September / October 2020 </w:t>
            </w:r>
            <w:r w:rsidRPr="002528F8">
              <w:rPr>
                <w:rStyle w:val="Strong"/>
                <w:b w:val="0"/>
                <w:bCs/>
              </w:rPr>
              <w:t>to determine the relevance and currency of its outcomes to industry since re-accreditation in 2017. Registered Training Organisations (RTOs) delivering and assessing the curriculum distributed surveys to three groups, i.e. existing students undertaking the course, trainers delivering and assessing the course, and graduates of the course.</w:t>
            </w:r>
          </w:p>
          <w:p w14:paraId="217D9AA5" w14:textId="77777777" w:rsidR="0028210F" w:rsidRPr="002528F8" w:rsidRDefault="0028210F" w:rsidP="0082392E">
            <w:pPr>
              <w:pStyle w:val="Bodycopy"/>
              <w:rPr>
                <w:rStyle w:val="Strong"/>
                <w:b w:val="0"/>
                <w:bCs/>
              </w:rPr>
            </w:pPr>
            <w:r w:rsidRPr="002528F8">
              <w:rPr>
                <w:rStyle w:val="Strong"/>
                <w:b w:val="0"/>
                <w:bCs/>
              </w:rPr>
              <w:t>Feedback indicated that:</w:t>
            </w:r>
          </w:p>
          <w:p w14:paraId="6AA27EE2" w14:textId="77777777" w:rsidR="0028210F" w:rsidRPr="002528F8" w:rsidRDefault="0028210F" w:rsidP="002528F8">
            <w:pPr>
              <w:pStyle w:val="ListBullet"/>
              <w:rPr>
                <w:rStyle w:val="Strong"/>
                <w:b w:val="0"/>
                <w:bCs/>
              </w:rPr>
            </w:pPr>
            <w:r w:rsidRPr="002528F8">
              <w:rPr>
                <w:rStyle w:val="Strong"/>
                <w:b w:val="0"/>
                <w:bCs/>
              </w:rPr>
              <w:t>Learners undertake the course for career purposes</w:t>
            </w:r>
          </w:p>
          <w:p w14:paraId="76EAA739" w14:textId="77777777" w:rsidR="0028210F" w:rsidRPr="002528F8" w:rsidRDefault="0028210F" w:rsidP="002528F8">
            <w:pPr>
              <w:pStyle w:val="ListBullet"/>
              <w:rPr>
                <w:rStyle w:val="Strong"/>
                <w:b w:val="0"/>
                <w:bCs/>
              </w:rPr>
            </w:pPr>
            <w:r w:rsidRPr="002528F8">
              <w:rPr>
                <w:rStyle w:val="Strong"/>
                <w:b w:val="0"/>
                <w:bCs/>
              </w:rPr>
              <w:t>Learners and trainers are satisfied with the structure of the course and the content, thinking it is complete in its current form</w:t>
            </w:r>
          </w:p>
          <w:p w14:paraId="231E30F7" w14:textId="44D22CAF" w:rsidR="0028210F" w:rsidRPr="002528F8" w:rsidRDefault="0028210F" w:rsidP="002528F8">
            <w:pPr>
              <w:pStyle w:val="ListBullet"/>
              <w:rPr>
                <w:rStyle w:val="Strong"/>
                <w:b w:val="0"/>
                <w:bCs/>
              </w:rPr>
            </w:pPr>
            <w:r w:rsidRPr="002528F8">
              <w:rPr>
                <w:rStyle w:val="Strong"/>
                <w:b w:val="0"/>
                <w:bCs/>
              </w:rPr>
              <w:t>Trainers believe that the learning outcomes of the course prepare students for the workplace. This correlates with the learners views that the course mee</w:t>
            </w:r>
            <w:r w:rsidR="0082392E">
              <w:rPr>
                <w:rStyle w:val="Strong"/>
                <w:b w:val="0"/>
                <w:bCs/>
              </w:rPr>
              <w:t>ts most of their training needs</w:t>
            </w:r>
          </w:p>
          <w:p w14:paraId="584945ED" w14:textId="77777777" w:rsidR="0028210F" w:rsidRPr="002528F8" w:rsidRDefault="0028210F" w:rsidP="002528F8">
            <w:pPr>
              <w:pStyle w:val="ListBullet"/>
              <w:rPr>
                <w:rStyle w:val="Strong"/>
                <w:b w:val="0"/>
                <w:bCs/>
              </w:rPr>
            </w:pPr>
            <w:r w:rsidRPr="002528F8">
              <w:rPr>
                <w:rStyle w:val="Strong"/>
                <w:b w:val="0"/>
                <w:bCs/>
              </w:rPr>
              <w:t>Graduates of the course are employed in a field which is relevant to their training and are satisfied that the main reason for undertaking the course has been achieved.</w:t>
            </w:r>
          </w:p>
          <w:p w14:paraId="0E0C78E8" w14:textId="77777777" w:rsidR="0028210F" w:rsidRPr="002528F8" w:rsidRDefault="0028210F" w:rsidP="0082392E">
            <w:pPr>
              <w:pStyle w:val="Bold"/>
              <w:rPr>
                <w:rStyle w:val="Strong"/>
                <w:b/>
                <w:bCs/>
              </w:rPr>
            </w:pPr>
            <w:r w:rsidRPr="002528F8">
              <w:rPr>
                <w:rStyle w:val="Strong"/>
                <w:b/>
                <w:bCs/>
              </w:rPr>
              <w:t>Transition arrangements</w:t>
            </w:r>
          </w:p>
          <w:p w14:paraId="3BCDE5EA" w14:textId="77777777" w:rsidR="000F5776" w:rsidRDefault="0028210F" w:rsidP="0082392E">
            <w:pPr>
              <w:pStyle w:val="Bodycopy"/>
              <w:rPr>
                <w:rStyle w:val="Strong"/>
                <w:b w:val="0"/>
                <w:bCs/>
              </w:rPr>
            </w:pPr>
            <w:r w:rsidRPr="002528F8">
              <w:rPr>
                <w:rStyle w:val="Strong"/>
                <w:b w:val="0"/>
                <w:bCs/>
              </w:rPr>
              <w:t xml:space="preserve">The 22597VIC Course in Workplace Spotting for Service Assets replaces and is equivalent to the 22325VIC Course in Workplace Spotting for Service Assets.  There can be no new enrolments in the 22325VIC Course in Workplace Spotting for Service Assets after 30 June 2022. </w:t>
            </w:r>
          </w:p>
          <w:p w14:paraId="0F870DAA" w14:textId="6B9213EA" w:rsidR="0028210F" w:rsidRPr="002528F8" w:rsidRDefault="000F5776" w:rsidP="0082392E">
            <w:pPr>
              <w:pStyle w:val="Bodycopy"/>
              <w:rPr>
                <w:rStyle w:val="Strong"/>
                <w:b w:val="0"/>
                <w:bCs/>
              </w:rPr>
            </w:pPr>
            <w:r>
              <w:rPr>
                <w:rStyle w:val="Strong"/>
                <w:b w:val="0"/>
                <w:bCs/>
              </w:rPr>
              <w:t>T</w:t>
            </w:r>
            <w:r w:rsidR="0028210F" w:rsidRPr="002528F8">
              <w:rPr>
                <w:rStyle w:val="Strong"/>
                <w:b w:val="0"/>
                <w:bCs/>
              </w:rPr>
              <w:t>able Two maps the unit from the previous course with the unit from the current course.</w:t>
            </w:r>
          </w:p>
          <w:p w14:paraId="4B23DAC5" w14:textId="77777777" w:rsidR="0028210F" w:rsidRPr="00F73D33" w:rsidRDefault="0028210F" w:rsidP="0082392E">
            <w:pPr>
              <w:pStyle w:val="Bodycopy"/>
              <w:rPr>
                <w:rStyle w:val="Strong"/>
                <w:b w:val="0"/>
                <w:bCs/>
                <w:sz w:val="20"/>
              </w:rPr>
            </w:pPr>
            <w:r w:rsidRPr="00F73D33">
              <w:rPr>
                <w:rStyle w:val="Strong"/>
                <w:sz w:val="20"/>
              </w:rPr>
              <w:t>Table Two: Units mapped from previous with current course</w:t>
            </w:r>
          </w:p>
          <w:tbl>
            <w:tblPr>
              <w:tblpPr w:leftFromText="180" w:rightFromText="180" w:vertAnchor="text" w:horzAnchor="margin" w:tblpXSpec="center" w:tblpY="211"/>
              <w:tblOverlap w:val="never"/>
              <w:tblW w:w="5224" w:type="dxa"/>
              <w:tblLayout w:type="fixed"/>
              <w:tblCellMar>
                <w:left w:w="0" w:type="dxa"/>
                <w:right w:w="0" w:type="dxa"/>
              </w:tblCellMar>
              <w:tblLook w:val="0000" w:firstRow="0" w:lastRow="0" w:firstColumn="0" w:lastColumn="0" w:noHBand="0" w:noVBand="0"/>
            </w:tblPr>
            <w:tblGrid>
              <w:gridCol w:w="2112"/>
              <w:gridCol w:w="2001"/>
              <w:gridCol w:w="1111"/>
            </w:tblGrid>
            <w:tr w:rsidR="0028210F" w:rsidRPr="00870478" w14:paraId="79A4B239" w14:textId="77777777" w:rsidTr="001F4826">
              <w:trPr>
                <w:trHeight w:val="297"/>
              </w:trPr>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398C9142" w14:textId="77777777" w:rsidR="0028210F" w:rsidRPr="000F5776" w:rsidRDefault="0028210F" w:rsidP="0082392E">
                  <w:pPr>
                    <w:pStyle w:val="Bodycopy"/>
                  </w:pPr>
                  <w:r w:rsidRPr="000F5776">
                    <w:t>22597VIC Course in Workplace Spotting for Service Assets</w:t>
                  </w:r>
                </w:p>
              </w:tc>
              <w:tc>
                <w:tcPr>
                  <w:tcW w:w="2001" w:type="dxa"/>
                  <w:tcBorders>
                    <w:top w:val="single" w:sz="4" w:space="0" w:color="000000"/>
                    <w:left w:val="single" w:sz="4" w:space="0" w:color="000000"/>
                    <w:bottom w:val="single" w:sz="4" w:space="0" w:color="000000"/>
                    <w:right w:val="single" w:sz="4" w:space="0" w:color="000000"/>
                  </w:tcBorders>
                  <w:shd w:val="clear" w:color="auto" w:fill="D9D9D9"/>
                </w:tcPr>
                <w:p w14:paraId="60AD54B6" w14:textId="77777777" w:rsidR="0028210F" w:rsidRPr="000F5776" w:rsidRDefault="0028210F" w:rsidP="0082392E">
                  <w:pPr>
                    <w:pStyle w:val="Bodycopy"/>
                  </w:pPr>
                  <w:r w:rsidRPr="000F5776">
                    <w:t>22325VIC Course in Workplace Spotting for Service Assets</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14:paraId="7497ABBF" w14:textId="77777777" w:rsidR="0028210F" w:rsidRPr="000F5776" w:rsidRDefault="0028210F" w:rsidP="0082392E">
                  <w:pPr>
                    <w:pStyle w:val="Bodycopy"/>
                  </w:pPr>
                  <w:r w:rsidRPr="000F5776">
                    <w:t>Relationship</w:t>
                  </w:r>
                </w:p>
              </w:tc>
            </w:tr>
            <w:tr w:rsidR="0028210F" w:rsidRPr="00870478" w14:paraId="2E16E363" w14:textId="77777777" w:rsidTr="001F4826">
              <w:trPr>
                <w:trHeight w:val="492"/>
              </w:trPr>
              <w:tc>
                <w:tcPr>
                  <w:tcW w:w="2112" w:type="dxa"/>
                  <w:tcBorders>
                    <w:top w:val="single" w:sz="4" w:space="0" w:color="000000"/>
                    <w:left w:val="single" w:sz="4" w:space="0" w:color="000000"/>
                    <w:bottom w:val="single" w:sz="4" w:space="0" w:color="000000"/>
                    <w:right w:val="single" w:sz="4" w:space="0" w:color="000000"/>
                  </w:tcBorders>
                </w:tcPr>
                <w:p w14:paraId="3E562E04" w14:textId="77777777" w:rsidR="0028210F" w:rsidRPr="000F5776" w:rsidRDefault="0028210F" w:rsidP="0082392E">
                  <w:pPr>
                    <w:pStyle w:val="Bodycopy"/>
                  </w:pPr>
                  <w:r w:rsidRPr="000F5776">
                    <w:t>VU23165 Observe and manage the safe operation of plant and equipment around overhead and underground assets</w:t>
                  </w:r>
                </w:p>
              </w:tc>
              <w:tc>
                <w:tcPr>
                  <w:tcW w:w="2001" w:type="dxa"/>
                  <w:tcBorders>
                    <w:top w:val="single" w:sz="4" w:space="0" w:color="000000"/>
                    <w:left w:val="single" w:sz="4" w:space="0" w:color="000000"/>
                    <w:bottom w:val="single" w:sz="4" w:space="0" w:color="000000"/>
                    <w:right w:val="single" w:sz="4" w:space="0" w:color="000000"/>
                  </w:tcBorders>
                </w:tcPr>
                <w:p w14:paraId="0B302C4B" w14:textId="77777777" w:rsidR="0028210F" w:rsidRPr="000F5776" w:rsidRDefault="0028210F" w:rsidP="0082392E">
                  <w:pPr>
                    <w:pStyle w:val="Bodycopy"/>
                  </w:pPr>
                  <w:r w:rsidRPr="000F5776">
                    <w:t>VU21936 Observe for the safe operation of plant and equipment around overhead and underground asset</w:t>
                  </w:r>
                </w:p>
              </w:tc>
              <w:tc>
                <w:tcPr>
                  <w:tcW w:w="1111" w:type="dxa"/>
                  <w:tcBorders>
                    <w:top w:val="single" w:sz="4" w:space="0" w:color="000000"/>
                    <w:left w:val="single" w:sz="4" w:space="0" w:color="000000"/>
                    <w:bottom w:val="single" w:sz="4" w:space="0" w:color="000000"/>
                    <w:right w:val="single" w:sz="4" w:space="0" w:color="000000"/>
                  </w:tcBorders>
                </w:tcPr>
                <w:p w14:paraId="521FEEBE" w14:textId="77777777" w:rsidR="0028210F" w:rsidRPr="000F5776" w:rsidRDefault="0028210F" w:rsidP="0082392E">
                  <w:pPr>
                    <w:pStyle w:val="Bodycopy"/>
                  </w:pPr>
                  <w:r w:rsidRPr="000F5776">
                    <w:t>Equivalent</w:t>
                  </w:r>
                </w:p>
              </w:tc>
            </w:tr>
            <w:tr w:rsidR="0028210F" w:rsidRPr="00870478" w14:paraId="584906C0" w14:textId="77777777" w:rsidTr="001F4826">
              <w:trPr>
                <w:trHeight w:val="420"/>
              </w:trPr>
              <w:tc>
                <w:tcPr>
                  <w:tcW w:w="2112" w:type="dxa"/>
                  <w:tcBorders>
                    <w:top w:val="single" w:sz="4" w:space="0" w:color="000000"/>
                    <w:left w:val="single" w:sz="4" w:space="0" w:color="000000"/>
                    <w:bottom w:val="single" w:sz="4" w:space="0" w:color="000000"/>
                    <w:right w:val="single" w:sz="4" w:space="0" w:color="000000"/>
                  </w:tcBorders>
                </w:tcPr>
                <w:p w14:paraId="3F1E2A2D" w14:textId="77777777" w:rsidR="0028210F" w:rsidRPr="000F5776" w:rsidRDefault="0028210F" w:rsidP="0082392E">
                  <w:pPr>
                    <w:pStyle w:val="Bodycopy"/>
                  </w:pPr>
                  <w:r w:rsidRPr="000F5776">
                    <w:t>HLTAID011 Provide First Aid</w:t>
                  </w:r>
                </w:p>
              </w:tc>
              <w:tc>
                <w:tcPr>
                  <w:tcW w:w="2001" w:type="dxa"/>
                  <w:tcBorders>
                    <w:top w:val="single" w:sz="4" w:space="0" w:color="000000"/>
                    <w:left w:val="single" w:sz="4" w:space="0" w:color="000000"/>
                    <w:bottom w:val="single" w:sz="4" w:space="0" w:color="000000"/>
                    <w:right w:val="single" w:sz="4" w:space="0" w:color="000000"/>
                  </w:tcBorders>
                </w:tcPr>
                <w:p w14:paraId="0344D8B1" w14:textId="77777777" w:rsidR="0028210F" w:rsidRPr="000F5776" w:rsidRDefault="0028210F" w:rsidP="0082392E">
                  <w:pPr>
                    <w:pStyle w:val="Bodycopy"/>
                    <w:rPr>
                      <w:rFonts w:ascii="Times New Roman" w:hAnsi="Times New Roman" w:cs="Times New Roman"/>
                    </w:rPr>
                  </w:pPr>
                  <w:r w:rsidRPr="000F5776">
                    <w:t>HLTAID003 Provide First Aid</w:t>
                  </w:r>
                </w:p>
              </w:tc>
              <w:tc>
                <w:tcPr>
                  <w:tcW w:w="1111" w:type="dxa"/>
                  <w:tcBorders>
                    <w:top w:val="single" w:sz="4" w:space="0" w:color="000000"/>
                    <w:left w:val="single" w:sz="4" w:space="0" w:color="000000"/>
                    <w:bottom w:val="single" w:sz="4" w:space="0" w:color="000000"/>
                    <w:right w:val="single" w:sz="4" w:space="0" w:color="000000"/>
                  </w:tcBorders>
                </w:tcPr>
                <w:p w14:paraId="0339B7B3" w14:textId="77777777" w:rsidR="0028210F" w:rsidRPr="000F5776" w:rsidRDefault="0028210F" w:rsidP="0082392E">
                  <w:pPr>
                    <w:pStyle w:val="Bodycopy"/>
                  </w:pPr>
                  <w:r w:rsidRPr="000F5776">
                    <w:t xml:space="preserve">Not </w:t>
                  </w:r>
                  <w:r w:rsidRPr="000F5776">
                    <w:br/>
                    <w:t>Equivalent</w:t>
                  </w:r>
                </w:p>
              </w:tc>
            </w:tr>
          </w:tbl>
          <w:p w14:paraId="0494D17C" w14:textId="77777777" w:rsidR="0028210F" w:rsidRPr="000F5776" w:rsidRDefault="0028210F" w:rsidP="000F5776">
            <w:pPr>
              <w:pStyle w:val="Guidingtext"/>
              <w:rPr>
                <w:rStyle w:val="Strong"/>
                <w:b w:val="0"/>
                <w:bCs/>
                <w:sz w:val="18"/>
              </w:rPr>
            </w:pPr>
          </w:p>
          <w:p w14:paraId="5C3536CC" w14:textId="77777777" w:rsidR="0028210F" w:rsidRPr="008E5F23" w:rsidRDefault="0028210F" w:rsidP="000F5776">
            <w:pPr>
              <w:pStyle w:val="Guidingtext"/>
              <w:rPr>
                <w:rStyle w:val="Strong"/>
                <w:b w:val="0"/>
                <w:bCs/>
              </w:rPr>
            </w:pPr>
          </w:p>
        </w:tc>
      </w:tr>
      <w:tr w:rsidR="0028210F" w:rsidRPr="002C3958" w14:paraId="44BC43D5" w14:textId="77777777" w:rsidTr="001F4826">
        <w:tc>
          <w:tcPr>
            <w:tcW w:w="3182" w:type="dxa"/>
            <w:gridSpan w:val="2"/>
            <w:tcBorders>
              <w:right w:val="nil"/>
            </w:tcBorders>
            <w:shd w:val="clear" w:color="auto" w:fill="DBE5F1"/>
          </w:tcPr>
          <w:p w14:paraId="63C68939" w14:textId="77777777" w:rsidR="0028210F" w:rsidRPr="002C3958" w:rsidRDefault="0028210F" w:rsidP="0028210F">
            <w:pPr>
              <w:pStyle w:val="SectionBSubsection"/>
              <w:numPr>
                <w:ilvl w:val="0"/>
                <w:numId w:val="3"/>
              </w:numPr>
            </w:pPr>
            <w:bookmarkStart w:id="34" w:name="_Toc103624533"/>
            <w:r w:rsidRPr="002C3958">
              <w:t>Course outcomes</w:t>
            </w:r>
            <w:bookmarkEnd w:id="34"/>
          </w:p>
        </w:tc>
        <w:tc>
          <w:tcPr>
            <w:tcW w:w="6032" w:type="dxa"/>
            <w:gridSpan w:val="5"/>
            <w:tcBorders>
              <w:left w:val="nil"/>
            </w:tcBorders>
            <w:shd w:val="clear" w:color="auto" w:fill="DBE5F1"/>
          </w:tcPr>
          <w:p w14:paraId="528B4AAA" w14:textId="77777777" w:rsidR="0028210F" w:rsidRPr="002C3958" w:rsidRDefault="0028210F" w:rsidP="001F4826">
            <w:pPr>
              <w:pStyle w:val="Standard"/>
              <w:rPr>
                <w:color w:val="auto"/>
              </w:rPr>
            </w:pPr>
          </w:p>
        </w:tc>
      </w:tr>
      <w:tr w:rsidR="0028210F" w:rsidRPr="002C3958" w14:paraId="39D997E0" w14:textId="77777777" w:rsidTr="002528F8">
        <w:tc>
          <w:tcPr>
            <w:tcW w:w="3182" w:type="dxa"/>
            <w:gridSpan w:val="2"/>
          </w:tcPr>
          <w:p w14:paraId="058327B0" w14:textId="77777777" w:rsidR="0028210F" w:rsidRPr="002C3958" w:rsidRDefault="0028210F" w:rsidP="002528F8">
            <w:pPr>
              <w:pStyle w:val="SectionBSubsection2"/>
            </w:pPr>
            <w:bookmarkStart w:id="35" w:name="_Toc103624534"/>
            <w:r w:rsidRPr="002C3958">
              <w:t>Qualification level</w:t>
            </w:r>
            <w:bookmarkEnd w:id="35"/>
          </w:p>
        </w:tc>
        <w:tc>
          <w:tcPr>
            <w:tcW w:w="6032" w:type="dxa"/>
            <w:gridSpan w:val="5"/>
          </w:tcPr>
          <w:p w14:paraId="13962E3B" w14:textId="77777777" w:rsidR="0028210F" w:rsidRDefault="0028210F" w:rsidP="0082392E">
            <w:pPr>
              <w:pStyle w:val="Bodycopy"/>
            </w:pPr>
            <w:r w:rsidRPr="0063377C">
              <w:t>Standard 5.5 AQTF 2021 Standards for Accredited Courses</w:t>
            </w:r>
          </w:p>
          <w:p w14:paraId="0378561E" w14:textId="77777777" w:rsidR="0028210F" w:rsidRPr="00B87B37" w:rsidRDefault="0028210F" w:rsidP="0082392E">
            <w:pPr>
              <w:pStyle w:val="Bodycopy"/>
            </w:pPr>
            <w:r w:rsidRPr="00B87B37">
              <w:t xml:space="preserve">The </w:t>
            </w:r>
            <w:r>
              <w:t>22597VIC</w:t>
            </w:r>
            <w:r w:rsidRPr="00B87B37">
              <w:t xml:space="preserve"> Course in Workplace Spotting for Service Assets meets an identified industry and registration need but does not have the breadth, depth or volume of learning of a</w:t>
            </w:r>
            <w:r>
              <w:t>n AQF</w:t>
            </w:r>
            <w:r w:rsidRPr="00B87B37">
              <w:t xml:space="preserve"> qualification.</w:t>
            </w:r>
          </w:p>
          <w:p w14:paraId="3A8C77B8" w14:textId="77777777" w:rsidR="0028210F" w:rsidRPr="00821D2B" w:rsidRDefault="0028210F" w:rsidP="0082392E">
            <w:pPr>
              <w:pStyle w:val="Bodycopy"/>
              <w:rPr>
                <w:rStyle w:val="Hyperlink"/>
                <w:rFonts w:cs="Times New Roman"/>
                <w:szCs w:val="24"/>
                <w:lang w:val="en-GB" w:eastAsia="en-GB"/>
              </w:rPr>
            </w:pPr>
            <w:r w:rsidRPr="003A49D4">
              <w:rPr>
                <w:rStyle w:val="Hyperlink"/>
              </w:rPr>
              <w:t xml:space="preserve">Refer to </w:t>
            </w:r>
            <w:hyperlink r:id="rId21" w:history="1">
              <w:r>
                <w:rPr>
                  <w:rStyle w:val="Hyperlink"/>
                </w:rPr>
                <w:t>click here</w:t>
              </w:r>
            </w:hyperlink>
          </w:p>
        </w:tc>
      </w:tr>
      <w:tr w:rsidR="0028210F" w:rsidRPr="002C3958" w14:paraId="2C51DA74" w14:textId="77777777" w:rsidTr="002528F8">
        <w:tc>
          <w:tcPr>
            <w:tcW w:w="3182" w:type="dxa"/>
            <w:gridSpan w:val="2"/>
          </w:tcPr>
          <w:p w14:paraId="6BA43188" w14:textId="77777777" w:rsidR="0028210F" w:rsidRPr="002C3958" w:rsidRDefault="0028210F" w:rsidP="002528F8">
            <w:pPr>
              <w:pStyle w:val="SectionBSubsection2"/>
            </w:pPr>
            <w:bookmarkStart w:id="36" w:name="_Toc103624535"/>
            <w:r w:rsidRPr="002C3958">
              <w:t>Foundation skills</w:t>
            </w:r>
            <w:bookmarkEnd w:id="36"/>
          </w:p>
        </w:tc>
        <w:tc>
          <w:tcPr>
            <w:tcW w:w="6032" w:type="dxa"/>
            <w:gridSpan w:val="5"/>
          </w:tcPr>
          <w:p w14:paraId="150D2159" w14:textId="77777777" w:rsidR="0028210F" w:rsidRPr="003E0F42" w:rsidRDefault="0028210F" w:rsidP="0082392E">
            <w:pPr>
              <w:pStyle w:val="Bodycopy"/>
            </w:pPr>
            <w:r w:rsidRPr="003E0F42">
              <w:t>Standard 5.6 AQTF 2021 Standards for Accredited Courses</w:t>
            </w:r>
          </w:p>
          <w:p w14:paraId="33C51F63" w14:textId="77777777" w:rsidR="0028210F" w:rsidRPr="00821D2B" w:rsidRDefault="0028210F" w:rsidP="0082392E">
            <w:pPr>
              <w:pStyle w:val="Bodycopy"/>
            </w:pPr>
            <w:r>
              <w:t>F</w:t>
            </w:r>
            <w:r w:rsidRPr="00767082">
              <w:t>oundation skills applicable to the course are detailed in each unit of competency</w:t>
            </w:r>
            <w:r>
              <w:t>.</w:t>
            </w:r>
          </w:p>
        </w:tc>
      </w:tr>
      <w:tr w:rsidR="0028210F" w:rsidRPr="002C3958" w14:paraId="7FBA151E" w14:textId="77777777" w:rsidTr="002528F8">
        <w:tc>
          <w:tcPr>
            <w:tcW w:w="3182" w:type="dxa"/>
            <w:gridSpan w:val="2"/>
          </w:tcPr>
          <w:p w14:paraId="5B36648A" w14:textId="77777777" w:rsidR="0028210F" w:rsidRDefault="0028210F" w:rsidP="002528F8">
            <w:pPr>
              <w:pStyle w:val="SectionBSubsection2"/>
            </w:pPr>
            <w:bookmarkStart w:id="37" w:name="_Toc103624536"/>
            <w:r w:rsidRPr="00AC0A77">
              <w:t>Recognition given to the course</w:t>
            </w:r>
            <w:bookmarkEnd w:id="37"/>
          </w:p>
          <w:p w14:paraId="50BBD826" w14:textId="77777777" w:rsidR="0028210F" w:rsidRPr="00B148F1" w:rsidRDefault="0028210F" w:rsidP="002528F8">
            <w:pPr>
              <w:pStyle w:val="SectionBSubsection"/>
              <w:numPr>
                <w:ilvl w:val="0"/>
                <w:numId w:val="0"/>
              </w:numPr>
              <w:ind w:left="7938" w:hanging="7578"/>
            </w:pPr>
          </w:p>
        </w:tc>
        <w:tc>
          <w:tcPr>
            <w:tcW w:w="6032" w:type="dxa"/>
            <w:gridSpan w:val="5"/>
          </w:tcPr>
          <w:p w14:paraId="516017B9" w14:textId="77777777" w:rsidR="0028210F" w:rsidRPr="003E0F42" w:rsidRDefault="0028210F" w:rsidP="0082392E">
            <w:pPr>
              <w:pStyle w:val="Bodycopy"/>
            </w:pPr>
            <w:r w:rsidRPr="003E0F42">
              <w:t>Standard 5.7 AQTF 2021 Standards for Accredited Courses</w:t>
            </w:r>
          </w:p>
          <w:p w14:paraId="6E7AFFF4" w14:textId="77777777" w:rsidR="0028210F" w:rsidRPr="002C3958" w:rsidRDefault="0028210F" w:rsidP="0082392E">
            <w:pPr>
              <w:pStyle w:val="Bodycopy"/>
            </w:pPr>
            <w:r>
              <w:t>Not applicable</w:t>
            </w:r>
          </w:p>
        </w:tc>
      </w:tr>
      <w:tr w:rsidR="0028210F" w:rsidRPr="002C3958" w14:paraId="5A9626B6" w14:textId="77777777" w:rsidTr="001F4826">
        <w:tc>
          <w:tcPr>
            <w:tcW w:w="3182" w:type="dxa"/>
            <w:gridSpan w:val="2"/>
          </w:tcPr>
          <w:p w14:paraId="20C92C3E" w14:textId="77777777" w:rsidR="0028210F" w:rsidRPr="00BF6D8A" w:rsidRDefault="0028210F" w:rsidP="001F4826">
            <w:pPr>
              <w:pStyle w:val="SectionBSubsection2"/>
            </w:pPr>
            <w:bookmarkStart w:id="38" w:name="_Toc103624537"/>
            <w:r w:rsidRPr="00AC0A77">
              <w:t>Licensing/regulatory requirements</w:t>
            </w:r>
            <w:bookmarkEnd w:id="38"/>
          </w:p>
        </w:tc>
        <w:tc>
          <w:tcPr>
            <w:tcW w:w="6032" w:type="dxa"/>
            <w:gridSpan w:val="5"/>
            <w:tcBorders>
              <w:bottom w:val="single" w:sz="4" w:space="0" w:color="auto"/>
            </w:tcBorders>
          </w:tcPr>
          <w:p w14:paraId="60B3023D" w14:textId="77777777" w:rsidR="0028210F" w:rsidRDefault="0028210F" w:rsidP="0082392E">
            <w:pPr>
              <w:pStyle w:val="Bodycopy"/>
            </w:pPr>
            <w:r w:rsidRPr="008E0D11">
              <w:t>Standard 5.7 AQTF 2021 Standards for Accredited Courses</w:t>
            </w:r>
          </w:p>
          <w:p w14:paraId="4E69D572" w14:textId="77777777" w:rsidR="0028210F" w:rsidRPr="005F4592" w:rsidRDefault="0028210F" w:rsidP="0082392E">
            <w:pPr>
              <w:pStyle w:val="Bodycopy"/>
            </w:pPr>
            <w:r w:rsidRPr="00256BE5">
              <w:t xml:space="preserve">The course does not lead to the issuance of a </w:t>
            </w:r>
            <w:r>
              <w:t>registration</w:t>
            </w:r>
            <w:r w:rsidRPr="00256BE5">
              <w:t xml:space="preserve"> of itself, however ESV, the regulator and issuer of </w:t>
            </w:r>
            <w:r>
              <w:t>Spotter registrations</w:t>
            </w:r>
            <w:r w:rsidRPr="00256BE5">
              <w:t>, has established a number of conditions which must be met in addition to the successful completion of the Course in</w:t>
            </w:r>
            <w:r>
              <w:t xml:space="preserve"> Workplace Spotting for Service Assets</w:t>
            </w:r>
            <w:r w:rsidRPr="00256BE5">
              <w:t xml:space="preserve">, before a </w:t>
            </w:r>
            <w:r>
              <w:t>registration</w:t>
            </w:r>
            <w:r w:rsidRPr="00256BE5">
              <w:t xml:space="preserve"> will be issued.  These conditions relate to age and the completion of first aid training unit</w:t>
            </w:r>
            <w:r>
              <w:t>/s</w:t>
            </w:r>
            <w:r w:rsidRPr="00256BE5">
              <w:t xml:space="preserve"> of competency.</w:t>
            </w:r>
          </w:p>
          <w:p w14:paraId="05C693E9" w14:textId="2C36922E" w:rsidR="0028210F" w:rsidRDefault="0028210F" w:rsidP="0082392E">
            <w:pPr>
              <w:pStyle w:val="Bodycopy"/>
            </w:pPr>
            <w:r>
              <w:t xml:space="preserve">Participants who wish to work as a spotter are required to be registered with Energy Safe Victoria (ESV). Spotter registration information is available at </w:t>
            </w:r>
            <w:hyperlink r:id="rId22" w:history="1">
              <w:r>
                <w:rPr>
                  <w:rStyle w:val="Hyperlink"/>
                </w:rPr>
                <w:t>click here</w:t>
              </w:r>
            </w:hyperlink>
            <w:r w:rsidR="000F5776">
              <w:rPr>
                <w:rStyle w:val="Hyperlink"/>
              </w:rPr>
              <w:t xml:space="preserve"> </w:t>
            </w:r>
          </w:p>
          <w:p w14:paraId="2E24F34A" w14:textId="77777777" w:rsidR="0028210F" w:rsidRPr="007B01DD" w:rsidRDefault="0028210F" w:rsidP="0082392E">
            <w:pPr>
              <w:pStyle w:val="Bodycopy"/>
            </w:pPr>
            <w:r>
              <w:t>The 22597VIC Course in Workplace Spotting for Service Assets must be completed before applying for registration as a spotter.</w:t>
            </w:r>
          </w:p>
        </w:tc>
      </w:tr>
      <w:tr w:rsidR="0028210F" w:rsidRPr="002C3958" w14:paraId="2374BC30" w14:textId="77777777" w:rsidTr="001F4826">
        <w:tc>
          <w:tcPr>
            <w:tcW w:w="3182" w:type="dxa"/>
            <w:gridSpan w:val="2"/>
            <w:tcBorders>
              <w:right w:val="nil"/>
            </w:tcBorders>
            <w:shd w:val="clear" w:color="auto" w:fill="DBE5F1"/>
          </w:tcPr>
          <w:p w14:paraId="4D58033C" w14:textId="77777777" w:rsidR="0028210F" w:rsidRPr="002C3958" w:rsidRDefault="0028210F" w:rsidP="001F4826">
            <w:pPr>
              <w:pStyle w:val="SectionBSubsection"/>
            </w:pPr>
            <w:bookmarkStart w:id="39" w:name="_Toc103624538"/>
            <w:r w:rsidRPr="002C3958">
              <w:t>Course rules</w:t>
            </w:r>
            <w:bookmarkEnd w:id="39"/>
          </w:p>
        </w:tc>
        <w:tc>
          <w:tcPr>
            <w:tcW w:w="6032" w:type="dxa"/>
            <w:gridSpan w:val="5"/>
            <w:tcBorders>
              <w:left w:val="nil"/>
            </w:tcBorders>
            <w:shd w:val="clear" w:color="auto" w:fill="DBE5F1"/>
          </w:tcPr>
          <w:p w14:paraId="4480FCF2" w14:textId="77777777" w:rsidR="0028210F" w:rsidRPr="002C3958" w:rsidRDefault="0028210F" w:rsidP="001F4826">
            <w:pPr>
              <w:pStyle w:val="Standard"/>
              <w:rPr>
                <w:color w:val="auto"/>
              </w:rPr>
            </w:pPr>
          </w:p>
        </w:tc>
      </w:tr>
      <w:tr w:rsidR="0028210F" w:rsidRPr="00742C15" w14:paraId="75D270A1" w14:textId="77777777" w:rsidTr="001F4826">
        <w:tc>
          <w:tcPr>
            <w:tcW w:w="9214" w:type="dxa"/>
            <w:gridSpan w:val="7"/>
            <w:shd w:val="clear" w:color="auto" w:fill="auto"/>
          </w:tcPr>
          <w:p w14:paraId="506442F8" w14:textId="77777777" w:rsidR="0028210F" w:rsidRPr="00742C15" w:rsidRDefault="0028210F" w:rsidP="0082392E">
            <w:pPr>
              <w:pStyle w:val="Bodycopy"/>
            </w:pPr>
            <w:r w:rsidRPr="00742C15">
              <w:t>Standards 5.8 and 5.9 AQTF 2021 Standards for Accredited courses</w:t>
            </w:r>
          </w:p>
          <w:p w14:paraId="316A1383" w14:textId="134D7AF9" w:rsidR="0028210F" w:rsidRPr="00243E1D" w:rsidRDefault="0028210F" w:rsidP="001F4826">
            <w:pPr>
              <w:pStyle w:val="SectionBSubsection2"/>
              <w:spacing w:before="60"/>
            </w:pPr>
            <w:bookmarkStart w:id="40" w:name="_Toc103624539"/>
            <w:r w:rsidRPr="00243E1D">
              <w:t xml:space="preserve">Course </w:t>
            </w:r>
            <w:r w:rsidRPr="00D364C7">
              <w:t>structure</w:t>
            </w:r>
            <w:bookmarkEnd w:id="40"/>
          </w:p>
          <w:p w14:paraId="4D7B6640" w14:textId="77777777" w:rsidR="0028210F" w:rsidRPr="00450F57" w:rsidRDefault="0028210F" w:rsidP="000F5776">
            <w:pPr>
              <w:pStyle w:val="Guidingtext"/>
              <w:rPr>
                <w:szCs w:val="22"/>
              </w:rPr>
            </w:pPr>
            <w:r w:rsidRPr="00450F57">
              <w:t xml:space="preserve">To achieve the award of </w:t>
            </w:r>
            <w:r>
              <w:t>22597VIC</w:t>
            </w:r>
            <w:r w:rsidRPr="00450F57">
              <w:t xml:space="preserve"> Course in Workplace Spotting for Service Assets the </w:t>
            </w:r>
            <w:r w:rsidRPr="00450F57">
              <w:rPr>
                <w:szCs w:val="22"/>
              </w:rPr>
              <w:t>learner must successfully complete two (2) core units listed below.</w:t>
            </w:r>
          </w:p>
          <w:p w14:paraId="120E810A" w14:textId="77777777" w:rsidR="0028210F" w:rsidRPr="005C3C52" w:rsidRDefault="0028210F" w:rsidP="0082392E">
            <w:pPr>
              <w:pStyle w:val="Bodycopy"/>
            </w:pPr>
            <w:r w:rsidRPr="005C3C52">
              <w:t>Sequencing recommendation:</w:t>
            </w:r>
          </w:p>
          <w:p w14:paraId="517923AA" w14:textId="77777777" w:rsidR="0028210F" w:rsidRPr="005C3C52" w:rsidRDefault="0028210F" w:rsidP="0082392E">
            <w:pPr>
              <w:pStyle w:val="Bodycopy"/>
            </w:pPr>
            <w:r w:rsidRPr="005C3C52">
              <w:t>The industry regulators strongly recommend the following sequencing of assessment as a risk mitigation strategy.</w:t>
            </w:r>
          </w:p>
          <w:p w14:paraId="2F5A1217" w14:textId="77777777" w:rsidR="0028210F" w:rsidRPr="005C3C52" w:rsidRDefault="0028210F" w:rsidP="001F4826">
            <w:pPr>
              <w:pStyle w:val="ListBullet"/>
            </w:pPr>
            <w:r w:rsidRPr="005C3C52">
              <w:t>The unit HLTAID0</w:t>
            </w:r>
            <w:r>
              <w:t xml:space="preserve">11 </w:t>
            </w:r>
            <w:r w:rsidRPr="005C3C52">
              <w:t>Provide first aid, is delivered and assessed prior to the delivery and assessment of VU</w:t>
            </w:r>
            <w:r>
              <w:t>23165</w:t>
            </w:r>
            <w:r w:rsidRPr="005C3C52">
              <w:t xml:space="preserve"> </w:t>
            </w:r>
            <w:r>
              <w:t>Observe and manage the safe operation</w:t>
            </w:r>
            <w:r w:rsidRPr="006F3E45">
              <w:t xml:space="preserve"> of plant and equipment around overhead and underground asset</w:t>
            </w:r>
            <w:r>
              <w:t>s</w:t>
            </w:r>
          </w:p>
          <w:p w14:paraId="2D74D453" w14:textId="77777777" w:rsidR="0028210F" w:rsidRDefault="0028210F" w:rsidP="000F5776">
            <w:pPr>
              <w:pStyle w:val="Guidingtext"/>
            </w:pPr>
            <w:r w:rsidRPr="004D0B75">
              <w:t>Where the full course is not completed, a VET Statement of Attainment will be issued for each unit successfully completed.</w:t>
            </w:r>
          </w:p>
          <w:p w14:paraId="2870434C" w14:textId="77777777" w:rsidR="0028210F" w:rsidRPr="00742C15" w:rsidRDefault="0028210F" w:rsidP="000F5776">
            <w:pPr>
              <w:pStyle w:val="Guidingtext"/>
            </w:pPr>
          </w:p>
        </w:tc>
      </w:tr>
      <w:tr w:rsidR="0028210F" w:rsidRPr="00811DE7" w14:paraId="39012DA5" w14:textId="77777777" w:rsidTr="001F4826">
        <w:trPr>
          <w:cantSplit/>
          <w:trHeight w:val="1149"/>
        </w:trPr>
        <w:tc>
          <w:tcPr>
            <w:tcW w:w="1872" w:type="dxa"/>
            <w:tcBorders>
              <w:bottom w:val="single" w:sz="4" w:space="0" w:color="auto"/>
            </w:tcBorders>
            <w:shd w:val="clear" w:color="auto" w:fill="B4C6E7"/>
            <w:vAlign w:val="center"/>
          </w:tcPr>
          <w:p w14:paraId="2537CF45" w14:textId="77777777" w:rsidR="0028210F" w:rsidRPr="00811DE7" w:rsidRDefault="0028210F" w:rsidP="001F4826">
            <w:pPr>
              <w:spacing w:before="100" w:beforeAutospacing="1" w:after="100" w:afterAutospacing="1"/>
              <w:rPr>
                <w:rStyle w:val="Strong"/>
              </w:rPr>
            </w:pPr>
            <w:r w:rsidRPr="00811DE7">
              <w:rPr>
                <w:rStyle w:val="Strong"/>
              </w:rPr>
              <w:t>Unit of competency code</w:t>
            </w:r>
          </w:p>
        </w:tc>
        <w:tc>
          <w:tcPr>
            <w:tcW w:w="1596" w:type="dxa"/>
            <w:gridSpan w:val="2"/>
            <w:tcBorders>
              <w:bottom w:val="single" w:sz="4" w:space="0" w:color="auto"/>
            </w:tcBorders>
            <w:shd w:val="clear" w:color="auto" w:fill="B4C6E7"/>
            <w:vAlign w:val="center"/>
          </w:tcPr>
          <w:p w14:paraId="69174A6D" w14:textId="77777777" w:rsidR="0028210F" w:rsidRPr="00811DE7" w:rsidRDefault="0028210F" w:rsidP="001F4826">
            <w:pPr>
              <w:spacing w:before="100" w:beforeAutospacing="1" w:after="100" w:afterAutospacing="1"/>
              <w:rPr>
                <w:rStyle w:val="Strong"/>
              </w:rPr>
            </w:pPr>
            <w:r w:rsidRPr="00811DE7">
              <w:rPr>
                <w:rStyle w:val="Strong"/>
              </w:rPr>
              <w:t>Field of Education code (six-digit)</w:t>
            </w:r>
          </w:p>
        </w:tc>
        <w:tc>
          <w:tcPr>
            <w:tcW w:w="2983" w:type="dxa"/>
            <w:gridSpan w:val="2"/>
            <w:tcBorders>
              <w:bottom w:val="single" w:sz="4" w:space="0" w:color="auto"/>
            </w:tcBorders>
            <w:shd w:val="clear" w:color="auto" w:fill="B4C6E7"/>
            <w:vAlign w:val="center"/>
          </w:tcPr>
          <w:p w14:paraId="3D8F38ED" w14:textId="77777777" w:rsidR="0028210F" w:rsidRPr="00811DE7" w:rsidRDefault="0028210F" w:rsidP="001F4826">
            <w:pPr>
              <w:spacing w:before="100" w:beforeAutospacing="1" w:after="100" w:afterAutospacing="1"/>
              <w:rPr>
                <w:rStyle w:val="Strong"/>
              </w:rPr>
            </w:pPr>
            <w:r w:rsidRPr="00811DE7">
              <w:rPr>
                <w:rStyle w:val="Strong"/>
              </w:rPr>
              <w:t>Unit of competency title</w:t>
            </w:r>
          </w:p>
        </w:tc>
        <w:tc>
          <w:tcPr>
            <w:tcW w:w="1270" w:type="dxa"/>
            <w:tcBorders>
              <w:bottom w:val="single" w:sz="4" w:space="0" w:color="auto"/>
            </w:tcBorders>
            <w:shd w:val="clear" w:color="auto" w:fill="B4C6E7"/>
            <w:vAlign w:val="center"/>
          </w:tcPr>
          <w:p w14:paraId="3A87A335" w14:textId="77777777" w:rsidR="0028210F" w:rsidRPr="00811DE7" w:rsidRDefault="0028210F" w:rsidP="001F4826">
            <w:pPr>
              <w:spacing w:before="100" w:beforeAutospacing="1" w:after="100" w:afterAutospacing="1"/>
              <w:rPr>
                <w:rStyle w:val="Strong"/>
              </w:rPr>
            </w:pPr>
            <w:r w:rsidRPr="00811DE7">
              <w:rPr>
                <w:rStyle w:val="Strong"/>
              </w:rPr>
              <w:t>Pre-requisite</w:t>
            </w:r>
          </w:p>
        </w:tc>
        <w:tc>
          <w:tcPr>
            <w:tcW w:w="1493" w:type="dxa"/>
            <w:tcBorders>
              <w:bottom w:val="single" w:sz="4" w:space="0" w:color="auto"/>
            </w:tcBorders>
            <w:shd w:val="clear" w:color="auto" w:fill="B4C6E7"/>
            <w:vAlign w:val="center"/>
          </w:tcPr>
          <w:p w14:paraId="008CEA32" w14:textId="77777777" w:rsidR="0028210F" w:rsidRPr="00811DE7" w:rsidRDefault="0028210F" w:rsidP="001F4826">
            <w:pPr>
              <w:spacing w:before="100" w:beforeAutospacing="1" w:after="100" w:afterAutospacing="1"/>
              <w:rPr>
                <w:rStyle w:val="Strong"/>
              </w:rPr>
            </w:pPr>
            <w:r w:rsidRPr="00811DE7">
              <w:rPr>
                <w:rStyle w:val="Strong"/>
              </w:rPr>
              <w:t>Nominal hours</w:t>
            </w:r>
          </w:p>
        </w:tc>
      </w:tr>
      <w:tr w:rsidR="0028210F" w:rsidRPr="00F6471F" w14:paraId="404120DA" w14:textId="77777777" w:rsidTr="001F4826">
        <w:trPr>
          <w:trHeight w:val="474"/>
        </w:trPr>
        <w:tc>
          <w:tcPr>
            <w:tcW w:w="9214" w:type="dxa"/>
            <w:gridSpan w:val="7"/>
          </w:tcPr>
          <w:p w14:paraId="7D40F698" w14:textId="77777777" w:rsidR="0028210F" w:rsidRPr="00F6471F" w:rsidRDefault="0028210F" w:rsidP="001F4826">
            <w:pPr>
              <w:spacing w:before="100" w:beforeAutospacing="1" w:after="100" w:afterAutospacing="1"/>
              <w:rPr>
                <w:rStyle w:val="Strong"/>
              </w:rPr>
            </w:pPr>
            <w:r w:rsidRPr="00F6471F">
              <w:rPr>
                <w:rStyle w:val="Strong"/>
              </w:rPr>
              <w:t>Core units</w:t>
            </w:r>
          </w:p>
        </w:tc>
      </w:tr>
      <w:tr w:rsidR="0028210F" w:rsidRPr="008E0D11" w14:paraId="1E8E2C30" w14:textId="77777777" w:rsidTr="001F4826">
        <w:trPr>
          <w:trHeight w:val="1191"/>
        </w:trPr>
        <w:tc>
          <w:tcPr>
            <w:tcW w:w="1872" w:type="dxa"/>
            <w:tcBorders>
              <w:bottom w:val="single" w:sz="4" w:space="0" w:color="auto"/>
            </w:tcBorders>
          </w:tcPr>
          <w:p w14:paraId="1D9619F3" w14:textId="77777777" w:rsidR="0028210F" w:rsidRPr="008E0D11" w:rsidRDefault="0028210F" w:rsidP="0082392E">
            <w:pPr>
              <w:pStyle w:val="Bodycopy"/>
            </w:pPr>
            <w:r>
              <w:t>HLTAID011</w:t>
            </w:r>
          </w:p>
        </w:tc>
        <w:tc>
          <w:tcPr>
            <w:tcW w:w="1596" w:type="dxa"/>
            <w:gridSpan w:val="2"/>
            <w:tcBorders>
              <w:bottom w:val="single" w:sz="4" w:space="0" w:color="auto"/>
            </w:tcBorders>
          </w:tcPr>
          <w:p w14:paraId="226E2F15" w14:textId="77777777" w:rsidR="0028210F" w:rsidRPr="008E0D11" w:rsidRDefault="0028210F" w:rsidP="0082392E">
            <w:pPr>
              <w:pStyle w:val="Bodycopy"/>
              <w:rPr>
                <w:highlight w:val="yellow"/>
              </w:rPr>
            </w:pPr>
            <w:r>
              <w:t>069907</w:t>
            </w:r>
          </w:p>
        </w:tc>
        <w:tc>
          <w:tcPr>
            <w:tcW w:w="2983" w:type="dxa"/>
            <w:gridSpan w:val="2"/>
            <w:tcBorders>
              <w:bottom w:val="single" w:sz="4" w:space="0" w:color="auto"/>
            </w:tcBorders>
          </w:tcPr>
          <w:p w14:paraId="78110E1E" w14:textId="77777777" w:rsidR="0028210F" w:rsidRPr="008E0D11" w:rsidRDefault="0028210F" w:rsidP="0082392E">
            <w:pPr>
              <w:pStyle w:val="Bodycopy"/>
            </w:pPr>
            <w:r>
              <w:t>Provide First Aid</w:t>
            </w:r>
          </w:p>
        </w:tc>
        <w:tc>
          <w:tcPr>
            <w:tcW w:w="1270" w:type="dxa"/>
            <w:tcBorders>
              <w:bottom w:val="single" w:sz="4" w:space="0" w:color="auto"/>
            </w:tcBorders>
          </w:tcPr>
          <w:p w14:paraId="41579EC4" w14:textId="77777777" w:rsidR="0028210F" w:rsidRPr="008E0D11" w:rsidRDefault="0028210F" w:rsidP="0082392E">
            <w:pPr>
              <w:pStyle w:val="Bodycopy"/>
            </w:pPr>
            <w:r>
              <w:t>Nil</w:t>
            </w:r>
          </w:p>
        </w:tc>
        <w:tc>
          <w:tcPr>
            <w:tcW w:w="1493" w:type="dxa"/>
            <w:tcBorders>
              <w:bottom w:val="single" w:sz="4" w:space="0" w:color="auto"/>
            </w:tcBorders>
          </w:tcPr>
          <w:p w14:paraId="5972A76F" w14:textId="77777777" w:rsidR="0028210F" w:rsidRPr="008E0D11" w:rsidRDefault="0028210F" w:rsidP="0082392E">
            <w:pPr>
              <w:pStyle w:val="Bodycopy"/>
            </w:pPr>
            <w:r>
              <w:t>18</w:t>
            </w:r>
          </w:p>
        </w:tc>
      </w:tr>
      <w:tr w:rsidR="0028210F" w:rsidRPr="008E0D11" w14:paraId="2EC745B2" w14:textId="77777777" w:rsidTr="001F4826">
        <w:trPr>
          <w:trHeight w:val="493"/>
        </w:trPr>
        <w:tc>
          <w:tcPr>
            <w:tcW w:w="1872" w:type="dxa"/>
            <w:tcBorders>
              <w:bottom w:val="single" w:sz="4" w:space="0" w:color="auto"/>
            </w:tcBorders>
          </w:tcPr>
          <w:p w14:paraId="4F41DF44" w14:textId="77777777" w:rsidR="0028210F" w:rsidRPr="008E0D11" w:rsidRDefault="0028210F" w:rsidP="0082392E">
            <w:pPr>
              <w:pStyle w:val="Bodycopy"/>
            </w:pPr>
            <w:r>
              <w:t>VU23165</w:t>
            </w:r>
          </w:p>
        </w:tc>
        <w:tc>
          <w:tcPr>
            <w:tcW w:w="1596" w:type="dxa"/>
            <w:gridSpan w:val="2"/>
            <w:tcBorders>
              <w:bottom w:val="single" w:sz="4" w:space="0" w:color="auto"/>
            </w:tcBorders>
          </w:tcPr>
          <w:p w14:paraId="2D1F0587" w14:textId="77777777" w:rsidR="0028210F" w:rsidRPr="008E0D11" w:rsidRDefault="0028210F" w:rsidP="0082392E">
            <w:pPr>
              <w:pStyle w:val="Bodycopy"/>
              <w:rPr>
                <w:highlight w:val="yellow"/>
              </w:rPr>
            </w:pPr>
            <w:r w:rsidRPr="00F704D0">
              <w:t>040399</w:t>
            </w:r>
          </w:p>
        </w:tc>
        <w:tc>
          <w:tcPr>
            <w:tcW w:w="2983" w:type="dxa"/>
            <w:gridSpan w:val="2"/>
            <w:tcBorders>
              <w:bottom w:val="single" w:sz="4" w:space="0" w:color="auto"/>
            </w:tcBorders>
          </w:tcPr>
          <w:p w14:paraId="1A23CD02" w14:textId="77777777" w:rsidR="0028210F" w:rsidRPr="008E0D11" w:rsidRDefault="0028210F" w:rsidP="0082392E">
            <w:pPr>
              <w:pStyle w:val="Bodycopy"/>
            </w:pPr>
            <w:r w:rsidRPr="006F3E45">
              <w:t xml:space="preserve">Observe </w:t>
            </w:r>
            <w:r>
              <w:t xml:space="preserve">and manage </w:t>
            </w:r>
            <w:r w:rsidRPr="006F3E45">
              <w:t>the safe operation of plant and equipment around overhead and underground asset</w:t>
            </w:r>
            <w:r>
              <w:t>s</w:t>
            </w:r>
          </w:p>
        </w:tc>
        <w:tc>
          <w:tcPr>
            <w:tcW w:w="1270" w:type="dxa"/>
            <w:tcBorders>
              <w:bottom w:val="single" w:sz="4" w:space="0" w:color="auto"/>
            </w:tcBorders>
          </w:tcPr>
          <w:p w14:paraId="6A7C8BB5" w14:textId="77777777" w:rsidR="0028210F" w:rsidRPr="008E0D11" w:rsidRDefault="0028210F" w:rsidP="0082392E">
            <w:pPr>
              <w:pStyle w:val="Bodycopy"/>
            </w:pPr>
            <w:r>
              <w:t xml:space="preserve">Nil </w:t>
            </w:r>
          </w:p>
        </w:tc>
        <w:tc>
          <w:tcPr>
            <w:tcW w:w="1493" w:type="dxa"/>
            <w:tcBorders>
              <w:bottom w:val="single" w:sz="4" w:space="0" w:color="auto"/>
            </w:tcBorders>
          </w:tcPr>
          <w:p w14:paraId="4708919E" w14:textId="77777777" w:rsidR="0028210F" w:rsidRPr="008E0D11" w:rsidRDefault="0028210F" w:rsidP="0082392E">
            <w:pPr>
              <w:pStyle w:val="Bodycopy"/>
            </w:pPr>
            <w:r>
              <w:t>8</w:t>
            </w:r>
          </w:p>
        </w:tc>
      </w:tr>
      <w:tr w:rsidR="0028210F" w:rsidRPr="00811DE7" w14:paraId="4B9CE809" w14:textId="77777777" w:rsidTr="001F4826">
        <w:trPr>
          <w:trHeight w:val="758"/>
        </w:trPr>
        <w:tc>
          <w:tcPr>
            <w:tcW w:w="7721" w:type="dxa"/>
            <w:gridSpan w:val="6"/>
            <w:shd w:val="clear" w:color="auto" w:fill="B4C6E7"/>
            <w:vAlign w:val="center"/>
          </w:tcPr>
          <w:p w14:paraId="2DC99BB3" w14:textId="77777777" w:rsidR="0028210F" w:rsidRPr="00811DE7" w:rsidRDefault="0028210F" w:rsidP="001F4826">
            <w:pPr>
              <w:spacing w:before="100" w:beforeAutospacing="1" w:after="100" w:afterAutospacing="1"/>
              <w:jc w:val="right"/>
              <w:rPr>
                <w:rStyle w:val="Strong"/>
              </w:rPr>
            </w:pPr>
            <w:r w:rsidRPr="00811DE7">
              <w:rPr>
                <w:rStyle w:val="Strong"/>
              </w:rPr>
              <w:t>Total nominal hours</w:t>
            </w:r>
          </w:p>
        </w:tc>
        <w:tc>
          <w:tcPr>
            <w:tcW w:w="1493" w:type="dxa"/>
            <w:shd w:val="clear" w:color="auto" w:fill="B4C6E7"/>
            <w:vAlign w:val="center"/>
          </w:tcPr>
          <w:p w14:paraId="2A66FA4B" w14:textId="77777777" w:rsidR="0028210F" w:rsidRPr="00811DE7" w:rsidRDefault="0028210F" w:rsidP="001F4826">
            <w:pPr>
              <w:spacing w:before="100" w:beforeAutospacing="1" w:after="100" w:afterAutospacing="1"/>
              <w:rPr>
                <w:rStyle w:val="Strong"/>
              </w:rPr>
            </w:pPr>
            <w:r>
              <w:rPr>
                <w:rStyle w:val="Strong"/>
              </w:rPr>
              <w:t>26</w:t>
            </w:r>
          </w:p>
        </w:tc>
      </w:tr>
      <w:tr w:rsidR="0028210F" w:rsidRPr="00784652" w14:paraId="6FE1A149" w14:textId="77777777" w:rsidTr="001F4826">
        <w:tc>
          <w:tcPr>
            <w:tcW w:w="3689" w:type="dxa"/>
            <w:gridSpan w:val="4"/>
          </w:tcPr>
          <w:p w14:paraId="5D7E8479" w14:textId="77777777" w:rsidR="0028210F" w:rsidRPr="009F04FF" w:rsidRDefault="0028210F" w:rsidP="001F4826">
            <w:pPr>
              <w:pStyle w:val="SectionBSubsection2"/>
            </w:pPr>
            <w:r>
              <w:br w:type="page"/>
            </w:r>
            <w:bookmarkStart w:id="41" w:name="_Toc103624540"/>
            <w:r w:rsidRPr="009F04FF">
              <w:t>Entry requirements</w:t>
            </w:r>
            <w:bookmarkEnd w:id="41"/>
            <w:r w:rsidRPr="009F04FF">
              <w:t xml:space="preserve"> </w:t>
            </w:r>
          </w:p>
        </w:tc>
        <w:tc>
          <w:tcPr>
            <w:tcW w:w="5525" w:type="dxa"/>
            <w:gridSpan w:val="3"/>
          </w:tcPr>
          <w:p w14:paraId="59AD02AD" w14:textId="77777777" w:rsidR="0028210F" w:rsidRPr="0071074E" w:rsidRDefault="0028210F" w:rsidP="0082392E">
            <w:pPr>
              <w:pStyle w:val="Bodycopy"/>
            </w:pPr>
            <w:r w:rsidRPr="0071074E">
              <w:t xml:space="preserve">Standard </w:t>
            </w:r>
            <w:r>
              <w:t>5.11</w:t>
            </w:r>
            <w:r w:rsidRPr="0071074E">
              <w:t xml:space="preserve"> AQTF 2021 Standards for Accredited Courses</w:t>
            </w:r>
          </w:p>
          <w:p w14:paraId="5D4C9631" w14:textId="77777777" w:rsidR="0028210F" w:rsidRPr="00CA687A" w:rsidRDefault="0028210F" w:rsidP="0082392E">
            <w:pPr>
              <w:pStyle w:val="Bodycopy"/>
            </w:pPr>
            <w:r>
              <w:t>E</w:t>
            </w:r>
            <w:r w:rsidRPr="00CA687A">
              <w:t xml:space="preserve">ntrants to this course </w:t>
            </w:r>
            <w:r>
              <w:t>must</w:t>
            </w:r>
            <w:r w:rsidRPr="00CA687A">
              <w:t xml:space="preserve"> be aged 18 years at a minimum in order to satisfy the ESV registration requirement on course completion.</w:t>
            </w:r>
          </w:p>
          <w:p w14:paraId="5E2AAC7E" w14:textId="77777777" w:rsidR="0028210F" w:rsidRPr="007809A9" w:rsidRDefault="0028210F" w:rsidP="0082392E">
            <w:pPr>
              <w:pStyle w:val="Bodycopy"/>
              <w:rPr>
                <w:rStyle w:val="Hyperlink"/>
                <w:i w:val="0"/>
                <w:iCs/>
              </w:rPr>
            </w:pPr>
            <w:r w:rsidRPr="00CA687A">
              <w:t xml:space="preserve">The following is a general guide to entry in relation to the language, literacy and numeracy skills of learners aligned to the Australian Core Skills Framework (ACSF), details of which can be accessed from: </w:t>
            </w:r>
            <w:hyperlink r:id="rId23" w:history="1">
              <w:r>
                <w:rPr>
                  <w:rStyle w:val="Hyperlink"/>
                </w:rPr>
                <w:t>click here</w:t>
              </w:r>
            </w:hyperlink>
            <w:r w:rsidRPr="007809A9">
              <w:rPr>
                <w:rStyle w:val="Hyperlink"/>
              </w:rPr>
              <w:t>.</w:t>
            </w:r>
          </w:p>
          <w:p w14:paraId="26283DAF" w14:textId="77777777" w:rsidR="0028210F" w:rsidRPr="00CA687A" w:rsidRDefault="0028210F" w:rsidP="0082392E">
            <w:pPr>
              <w:pStyle w:val="Bodycopy"/>
            </w:pPr>
            <w:r w:rsidRPr="00CA687A">
              <w:t>Learners are best equipped to achieve the course outcomes in the Course in Workplace Spotting for Service Assets if they have minimum language, literacy and numeracy skills that are equivalent to Level 2 of the ACSF.</w:t>
            </w:r>
          </w:p>
          <w:p w14:paraId="70D3293B" w14:textId="77777777" w:rsidR="0028210F" w:rsidRPr="00784652" w:rsidRDefault="0028210F" w:rsidP="0082392E">
            <w:pPr>
              <w:pStyle w:val="Bodycopy"/>
            </w:pPr>
            <w:r w:rsidRPr="00CA687A">
              <w:t xml:space="preserve">Learners with language, literacy and numeracy skills at a lower level than suggested </w:t>
            </w:r>
            <w:r>
              <w:t>may</w:t>
            </w:r>
            <w:r w:rsidRPr="00CA687A">
              <w:t xml:space="preserve"> require additional support to successfully undertake the Course in Workplace Spotting for Service Assets</w:t>
            </w:r>
            <w:r>
              <w:t>.</w:t>
            </w:r>
          </w:p>
        </w:tc>
      </w:tr>
      <w:tr w:rsidR="0028210F" w:rsidRPr="00982853" w14:paraId="280F9C6E" w14:textId="77777777" w:rsidTr="001F4826">
        <w:tc>
          <w:tcPr>
            <w:tcW w:w="3689" w:type="dxa"/>
            <w:gridSpan w:val="4"/>
            <w:shd w:val="clear" w:color="auto" w:fill="DBE5F1"/>
          </w:tcPr>
          <w:p w14:paraId="3DF55A3E" w14:textId="77777777" w:rsidR="0028210F" w:rsidRPr="009F04FF" w:rsidRDefault="0028210F" w:rsidP="001F4826">
            <w:pPr>
              <w:pStyle w:val="SectionBSubsection"/>
            </w:pPr>
            <w:bookmarkStart w:id="42" w:name="_Toc103624541"/>
            <w:r w:rsidRPr="009F04FF">
              <w:t>Assessment</w:t>
            </w:r>
            <w:bookmarkEnd w:id="42"/>
          </w:p>
        </w:tc>
        <w:tc>
          <w:tcPr>
            <w:tcW w:w="5525" w:type="dxa"/>
            <w:gridSpan w:val="3"/>
            <w:shd w:val="clear" w:color="auto" w:fill="DBE5F1"/>
          </w:tcPr>
          <w:p w14:paraId="0893C595" w14:textId="77777777" w:rsidR="0028210F" w:rsidRPr="0058137C" w:rsidRDefault="0028210F" w:rsidP="0082392E">
            <w:pPr>
              <w:pStyle w:val="Bodycopy"/>
            </w:pPr>
          </w:p>
        </w:tc>
      </w:tr>
      <w:tr w:rsidR="0028210F" w:rsidRPr="00982853" w14:paraId="7BA17AD4" w14:textId="77777777" w:rsidTr="001F4826">
        <w:tc>
          <w:tcPr>
            <w:tcW w:w="3689" w:type="dxa"/>
            <w:gridSpan w:val="4"/>
          </w:tcPr>
          <w:p w14:paraId="79F0DD62" w14:textId="77777777" w:rsidR="0028210F" w:rsidRDefault="0028210F" w:rsidP="001F4826">
            <w:pPr>
              <w:pStyle w:val="SectionBSubsection2"/>
            </w:pPr>
            <w:bookmarkStart w:id="43" w:name="_Toc103624542"/>
            <w:r w:rsidRPr="009F04FF">
              <w:t>Assessment strategy</w:t>
            </w:r>
            <w:bookmarkEnd w:id="43"/>
            <w:r w:rsidRPr="009F04FF">
              <w:t xml:space="preserve"> </w:t>
            </w:r>
          </w:p>
          <w:p w14:paraId="2869E600" w14:textId="77777777" w:rsidR="0028210F" w:rsidRPr="006174D4" w:rsidRDefault="0028210F" w:rsidP="0082392E">
            <w:pPr>
              <w:pStyle w:val="Bodycopy"/>
            </w:pPr>
          </w:p>
        </w:tc>
        <w:tc>
          <w:tcPr>
            <w:tcW w:w="5525" w:type="dxa"/>
            <w:gridSpan w:val="3"/>
          </w:tcPr>
          <w:p w14:paraId="01A948F9" w14:textId="77777777" w:rsidR="0028210F" w:rsidRPr="0071074E" w:rsidRDefault="0028210F" w:rsidP="0082392E">
            <w:pPr>
              <w:pStyle w:val="Bodycopy"/>
            </w:pPr>
            <w:r w:rsidRPr="0071074E">
              <w:t xml:space="preserve">Standard </w:t>
            </w:r>
            <w:r>
              <w:t>5.12</w:t>
            </w:r>
            <w:r w:rsidRPr="0071074E">
              <w:t xml:space="preserve"> AQTF 2021 Standards for Accredited Courses</w:t>
            </w:r>
          </w:p>
          <w:p w14:paraId="56612A0F" w14:textId="77777777" w:rsidR="0028210F" w:rsidRPr="00784652" w:rsidRDefault="0028210F" w:rsidP="0082392E">
            <w:pPr>
              <w:pStyle w:val="Bodycopy"/>
            </w:pPr>
            <w:r w:rsidRPr="00784652">
              <w:t>All assessment, including Recognition of Prior Learning (RPL), must be compliant with the requirements of:</w:t>
            </w:r>
          </w:p>
          <w:p w14:paraId="689764BA" w14:textId="77777777" w:rsidR="0028210F" w:rsidRDefault="0028210F" w:rsidP="001F4826">
            <w:pPr>
              <w:pStyle w:val="ListBullet"/>
            </w:pPr>
            <w:r>
              <w:t>Standard 1 of the AQTF: Essential Conditions and Standards for Initial/Continuing Registration and Guidelines 4.1 and 4.2 of the VRQA Guidelines for VET Providers,</w:t>
            </w:r>
          </w:p>
          <w:p w14:paraId="130032BA" w14:textId="77777777" w:rsidR="0028210F" w:rsidRDefault="0028210F" w:rsidP="0082392E">
            <w:pPr>
              <w:pStyle w:val="Bodycopy"/>
            </w:pPr>
            <w:r>
              <w:t>or</w:t>
            </w:r>
          </w:p>
          <w:p w14:paraId="09A6C66A" w14:textId="77777777" w:rsidR="0028210F" w:rsidRDefault="0028210F" w:rsidP="001F4826">
            <w:pPr>
              <w:pStyle w:val="ListBullet"/>
            </w:pPr>
            <w:r>
              <w:t>the Standards for Registered Training Organisations 2015 (SRTOs),</w:t>
            </w:r>
          </w:p>
          <w:p w14:paraId="5E1696DD" w14:textId="77777777" w:rsidR="0028210F" w:rsidRPr="00EB7EC8" w:rsidRDefault="0028210F" w:rsidP="0082392E">
            <w:pPr>
              <w:pStyle w:val="Bodycopy"/>
            </w:pPr>
            <w:r w:rsidRPr="00EB7EC8">
              <w:t>or</w:t>
            </w:r>
          </w:p>
          <w:p w14:paraId="23A68BA1" w14:textId="77777777" w:rsidR="0028210F" w:rsidRDefault="0028210F" w:rsidP="001F4826">
            <w:pPr>
              <w:pStyle w:val="ListBullet"/>
            </w:pPr>
            <w:r>
              <w:t>the relevant standards and Guidelines for RTOs at the time of assessment.</w:t>
            </w:r>
          </w:p>
          <w:p w14:paraId="4747762E" w14:textId="77777777" w:rsidR="0028210F" w:rsidRDefault="0028210F" w:rsidP="0082392E">
            <w:pPr>
              <w:pStyle w:val="Bodycopy"/>
            </w:pPr>
            <w:r>
              <w:t>The nature of work undertaken in this industry is hands-on and practical. Assessment strategies should therefore reflect this.</w:t>
            </w:r>
          </w:p>
          <w:p w14:paraId="1B8DA29F" w14:textId="77777777" w:rsidR="0028210F" w:rsidRDefault="0028210F" w:rsidP="0082392E">
            <w:pPr>
              <w:pStyle w:val="Bodycopy"/>
            </w:pPr>
            <w:r>
              <w:t>It is recommended that the assessment strategy for the Course in Workplace Spotting for Service Assets includes:</w:t>
            </w:r>
          </w:p>
          <w:p w14:paraId="23A4746C" w14:textId="77777777" w:rsidR="0028210F" w:rsidRDefault="0028210F" w:rsidP="001F4826">
            <w:pPr>
              <w:pStyle w:val="ListBullet"/>
            </w:pPr>
            <w:r>
              <w:t>oral or written questioning related to underpinning knowledge</w:t>
            </w:r>
          </w:p>
          <w:p w14:paraId="771311B9" w14:textId="77777777" w:rsidR="0028210F" w:rsidRDefault="0028210F" w:rsidP="001F4826">
            <w:pPr>
              <w:pStyle w:val="ListBullet"/>
            </w:pPr>
            <w:r>
              <w:t>the practical demonstration of activities which combine a number of learning outcomes to provide depth and context to the training</w:t>
            </w:r>
          </w:p>
          <w:p w14:paraId="319BD2C8" w14:textId="77777777" w:rsidR="0028210F" w:rsidRDefault="0028210F" w:rsidP="001F4826">
            <w:pPr>
              <w:pStyle w:val="ListBullet"/>
            </w:pPr>
            <w:r>
              <w:t>holistic assessment that reflects realistic job tasks.</w:t>
            </w:r>
          </w:p>
          <w:p w14:paraId="41F1FDC6" w14:textId="77777777" w:rsidR="0028210F" w:rsidRPr="006174D4" w:rsidRDefault="0028210F" w:rsidP="0082392E">
            <w:pPr>
              <w:pStyle w:val="Bodycopy"/>
            </w:pPr>
            <w:r>
              <w:t xml:space="preserve">Assessment must be consistent with the assessment requirements associated with the respective units of competency comprising the Course in </w:t>
            </w:r>
            <w:r w:rsidRPr="00CA687A">
              <w:t>Workplace Spotting for Service Assets</w:t>
            </w:r>
            <w:r>
              <w:t>.</w:t>
            </w:r>
          </w:p>
        </w:tc>
      </w:tr>
      <w:tr w:rsidR="0028210F" w:rsidRPr="00982853" w14:paraId="34294869" w14:textId="77777777" w:rsidTr="001F4826">
        <w:trPr>
          <w:trHeight w:val="983"/>
        </w:trPr>
        <w:tc>
          <w:tcPr>
            <w:tcW w:w="3689" w:type="dxa"/>
            <w:gridSpan w:val="4"/>
          </w:tcPr>
          <w:p w14:paraId="7CF2186A" w14:textId="77777777" w:rsidR="0028210F" w:rsidRPr="009F04FF" w:rsidRDefault="0028210F" w:rsidP="001F4826">
            <w:pPr>
              <w:pStyle w:val="SectionBSubsection2"/>
            </w:pPr>
            <w:bookmarkStart w:id="44" w:name="_Toc103624543"/>
            <w:r w:rsidRPr="009F04FF">
              <w:t>Assessor competencies</w:t>
            </w:r>
            <w:bookmarkEnd w:id="44"/>
            <w:r w:rsidRPr="009F04FF">
              <w:t xml:space="preserve"> </w:t>
            </w:r>
          </w:p>
        </w:tc>
        <w:tc>
          <w:tcPr>
            <w:tcW w:w="5525" w:type="dxa"/>
            <w:gridSpan w:val="3"/>
          </w:tcPr>
          <w:p w14:paraId="6E9F8F05" w14:textId="77777777" w:rsidR="0028210F" w:rsidRPr="0071074E" w:rsidRDefault="0028210F" w:rsidP="0082392E">
            <w:pPr>
              <w:pStyle w:val="Bodycopy"/>
            </w:pPr>
            <w:r w:rsidRPr="0071074E">
              <w:t xml:space="preserve">Standard </w:t>
            </w:r>
            <w:r>
              <w:t>5.14</w:t>
            </w:r>
            <w:r w:rsidRPr="0071074E">
              <w:t xml:space="preserve"> AQTF 2021 Standards for Accredited Courses</w:t>
            </w:r>
          </w:p>
          <w:p w14:paraId="7A3E9E09" w14:textId="77777777" w:rsidR="0028210F" w:rsidRPr="00325D1A" w:rsidRDefault="0028210F" w:rsidP="0082392E">
            <w:pPr>
              <w:pStyle w:val="Bodycopy"/>
            </w:pPr>
            <w:r w:rsidRPr="00325D1A">
              <w:t>Assessment must be undertaken by a person or persons in accordance with:</w:t>
            </w:r>
          </w:p>
          <w:p w14:paraId="4F41BCC6" w14:textId="77777777" w:rsidR="0028210F" w:rsidRPr="00DB3F37" w:rsidRDefault="0028210F" w:rsidP="0028210F">
            <w:pPr>
              <w:pStyle w:val="ListBullet"/>
              <w:numPr>
                <w:ilvl w:val="0"/>
                <w:numId w:val="4"/>
              </w:numPr>
            </w:pPr>
            <w:r w:rsidRPr="009223D8">
              <w:t xml:space="preserve">Standard 1.4 of the </w:t>
            </w:r>
            <w:r w:rsidRPr="00DB3F37">
              <w:t xml:space="preserve">AQTF: Essential Conditions and Standards for </w:t>
            </w:r>
            <w:r>
              <w:t>Initial/</w:t>
            </w:r>
            <w:r w:rsidRPr="00DB3F37">
              <w:t>Continuing Registration</w:t>
            </w:r>
            <w:r>
              <w:t xml:space="preserve"> and Guidelines 3 of the VRQA Guidelines for VET Providers</w:t>
            </w:r>
            <w:r w:rsidRPr="00DB3F37">
              <w:t>,</w:t>
            </w:r>
          </w:p>
          <w:p w14:paraId="27F3DB5C" w14:textId="77777777" w:rsidR="0028210F" w:rsidRPr="009F04FF" w:rsidRDefault="0028210F" w:rsidP="002D5197">
            <w:pPr>
              <w:pStyle w:val="ListBullet"/>
              <w:numPr>
                <w:ilvl w:val="0"/>
                <w:numId w:val="0"/>
              </w:numPr>
              <w:ind w:left="714"/>
            </w:pPr>
            <w:r w:rsidRPr="009F04FF">
              <w:t xml:space="preserve">or </w:t>
            </w:r>
          </w:p>
          <w:p w14:paraId="513333AF" w14:textId="77777777" w:rsidR="0028210F" w:rsidRPr="00DB3F37" w:rsidRDefault="0028210F" w:rsidP="0028210F">
            <w:pPr>
              <w:pStyle w:val="ListBullet"/>
              <w:numPr>
                <w:ilvl w:val="0"/>
                <w:numId w:val="4"/>
              </w:numPr>
            </w:pPr>
            <w:r w:rsidRPr="00DB3F37">
              <w:t>the Standards for Registered Training Organisations 2015 (SRTOs),</w:t>
            </w:r>
          </w:p>
          <w:p w14:paraId="3452A38E" w14:textId="77777777" w:rsidR="0028210F" w:rsidRPr="001738D2" w:rsidRDefault="0028210F" w:rsidP="002D5197">
            <w:pPr>
              <w:pStyle w:val="ListBullet"/>
              <w:numPr>
                <w:ilvl w:val="0"/>
                <w:numId w:val="0"/>
              </w:numPr>
              <w:ind w:left="714"/>
            </w:pPr>
            <w:r w:rsidRPr="001738D2">
              <w:t>or</w:t>
            </w:r>
          </w:p>
          <w:p w14:paraId="61595666" w14:textId="77777777" w:rsidR="0028210F" w:rsidRDefault="0028210F" w:rsidP="0028210F">
            <w:pPr>
              <w:pStyle w:val="ListBullet"/>
              <w:numPr>
                <w:ilvl w:val="0"/>
                <w:numId w:val="4"/>
              </w:numPr>
            </w:pPr>
            <w:r w:rsidRPr="00DB3F37">
              <w:t xml:space="preserve">the relevant standards </w:t>
            </w:r>
            <w:r>
              <w:t xml:space="preserve">and Guidelines </w:t>
            </w:r>
            <w:r w:rsidRPr="00DB3F37">
              <w:t>for RTOs at the time of assessment.</w:t>
            </w:r>
          </w:p>
          <w:p w14:paraId="3B5482C3" w14:textId="77777777" w:rsidR="0028210F" w:rsidRPr="00395C4D" w:rsidRDefault="0028210F" w:rsidP="001F4826">
            <w:pPr>
              <w:pStyle w:val="ListBullet"/>
            </w:pPr>
            <w:r w:rsidRPr="00B378AE">
              <w:t>Assessment of the unit of competency imported from the national training package must reflect the requirements for assessors specified in that training product.</w:t>
            </w:r>
          </w:p>
        </w:tc>
      </w:tr>
      <w:tr w:rsidR="0028210F" w:rsidRPr="00982853" w14:paraId="3E4FCF71" w14:textId="77777777" w:rsidTr="001F4826">
        <w:tc>
          <w:tcPr>
            <w:tcW w:w="3689" w:type="dxa"/>
            <w:gridSpan w:val="4"/>
            <w:tcBorders>
              <w:right w:val="nil"/>
            </w:tcBorders>
            <w:shd w:val="clear" w:color="auto" w:fill="DBE5F1"/>
          </w:tcPr>
          <w:p w14:paraId="2ECBA841" w14:textId="77777777" w:rsidR="0028210F" w:rsidRPr="009F04FF" w:rsidRDefault="0028210F" w:rsidP="001F4826">
            <w:pPr>
              <w:pStyle w:val="SectionBSubsection"/>
            </w:pPr>
            <w:bookmarkStart w:id="45" w:name="_Toc103624544"/>
            <w:r w:rsidRPr="009F04FF">
              <w:t>Delivery</w:t>
            </w:r>
            <w:bookmarkEnd w:id="45"/>
          </w:p>
        </w:tc>
        <w:tc>
          <w:tcPr>
            <w:tcW w:w="5525" w:type="dxa"/>
            <w:gridSpan w:val="3"/>
            <w:tcBorders>
              <w:left w:val="nil"/>
            </w:tcBorders>
            <w:shd w:val="clear" w:color="auto" w:fill="DBE5F1"/>
          </w:tcPr>
          <w:p w14:paraId="5602A3B9" w14:textId="77777777" w:rsidR="0028210F" w:rsidRPr="0058137C" w:rsidRDefault="0028210F" w:rsidP="0082392E">
            <w:pPr>
              <w:pStyle w:val="Bodycopy"/>
            </w:pPr>
          </w:p>
        </w:tc>
      </w:tr>
      <w:tr w:rsidR="0028210F" w:rsidRPr="00982853" w14:paraId="530FC9BE" w14:textId="77777777" w:rsidTr="001F4826">
        <w:tc>
          <w:tcPr>
            <w:tcW w:w="3689" w:type="dxa"/>
            <w:gridSpan w:val="4"/>
          </w:tcPr>
          <w:p w14:paraId="16D5F6B9" w14:textId="77777777" w:rsidR="0028210F" w:rsidRPr="009F04FF" w:rsidRDefault="0028210F" w:rsidP="001F4826">
            <w:pPr>
              <w:pStyle w:val="SectionBSubsection2"/>
            </w:pPr>
            <w:bookmarkStart w:id="46" w:name="_Toc103624545"/>
            <w:r w:rsidRPr="009F04FF">
              <w:t>Delivery modes</w:t>
            </w:r>
            <w:bookmarkEnd w:id="46"/>
            <w:r w:rsidRPr="009F04FF">
              <w:t xml:space="preserve"> </w:t>
            </w:r>
          </w:p>
        </w:tc>
        <w:tc>
          <w:tcPr>
            <w:tcW w:w="5525" w:type="dxa"/>
            <w:gridSpan w:val="3"/>
          </w:tcPr>
          <w:p w14:paraId="2966D46D" w14:textId="77777777" w:rsidR="0028210F" w:rsidRPr="000656AF" w:rsidRDefault="0028210F" w:rsidP="0082392E">
            <w:pPr>
              <w:pStyle w:val="Bodycopy"/>
            </w:pPr>
            <w:r w:rsidRPr="007031CE">
              <w:t xml:space="preserve">Standard </w:t>
            </w:r>
            <w:r>
              <w:t>5.13</w:t>
            </w:r>
            <w:r w:rsidRPr="007031CE">
              <w:t xml:space="preserve"> AQTF 2021 Standards for Accredited Courses</w:t>
            </w:r>
          </w:p>
          <w:p w14:paraId="68F01C6E" w14:textId="77777777" w:rsidR="0028210F" w:rsidRDefault="0028210F" w:rsidP="0082392E">
            <w:pPr>
              <w:pStyle w:val="Bodycopy"/>
            </w:pPr>
            <w:r>
              <w:t>Delivery modes must be consistent with any mandatory requirements specified in the unit of competency.</w:t>
            </w:r>
          </w:p>
          <w:p w14:paraId="5E7FA910" w14:textId="77777777" w:rsidR="0028210F" w:rsidRDefault="0028210F" w:rsidP="0082392E">
            <w:pPr>
              <w:pStyle w:val="Bodycopy"/>
            </w:pPr>
            <w:r>
              <w:t>The course aims to develop practical competencies within an industry setting. Practical demonstrations and opportunity for application are considered to provide the most suitable strategy to reflect the objectives of the course.</w:t>
            </w:r>
          </w:p>
          <w:p w14:paraId="6285A360" w14:textId="77777777" w:rsidR="0028210F" w:rsidRDefault="0028210F" w:rsidP="0082392E">
            <w:pPr>
              <w:pStyle w:val="Bodycopy"/>
            </w:pPr>
            <w:r>
              <w:t>As spotting involves the physical observation of plant and equipment operating around a work environment, the practical/skills components of the course must be delivered:</w:t>
            </w:r>
          </w:p>
          <w:p w14:paraId="3BD98E8A" w14:textId="77777777" w:rsidR="0028210F" w:rsidRDefault="0028210F" w:rsidP="001F4826">
            <w:pPr>
              <w:pStyle w:val="ListBullet"/>
            </w:pPr>
            <w:r>
              <w:t>in a simulated workplace that accurately reflects workplace conditions.</w:t>
            </w:r>
          </w:p>
          <w:p w14:paraId="243E16DB" w14:textId="77777777" w:rsidR="0028210F" w:rsidRDefault="0028210F" w:rsidP="0082392E">
            <w:pPr>
              <w:pStyle w:val="Bodycopy"/>
            </w:pPr>
            <w:r>
              <w:t>The knowledge components of the course must be delivered via:</w:t>
            </w:r>
          </w:p>
          <w:p w14:paraId="7CFF9769" w14:textId="77777777" w:rsidR="0028210F" w:rsidRPr="00EC49EF" w:rsidRDefault="0028210F" w:rsidP="001F4826">
            <w:pPr>
              <w:pStyle w:val="ListBullet"/>
            </w:pPr>
            <w:r>
              <w:t>f</w:t>
            </w:r>
            <w:r w:rsidRPr="00EC49EF">
              <w:t>ace-to-face, classroom-based delivery to enable development of teamwork, communication and interpersonal skills which are fundamental to the outcome of this unit.</w:t>
            </w:r>
          </w:p>
          <w:p w14:paraId="74609EC3" w14:textId="77777777" w:rsidR="0028210F" w:rsidRDefault="0028210F" w:rsidP="0082392E">
            <w:pPr>
              <w:pStyle w:val="Bodycopy"/>
            </w:pPr>
            <w:r>
              <w:t>Adequate supervision must be provided to ensure workplace safety, whenever participants are near mobile plant, dangerous machinery or in potentially hazardous environments.</w:t>
            </w:r>
          </w:p>
          <w:p w14:paraId="39B7965A" w14:textId="77777777" w:rsidR="0028210F" w:rsidRPr="009F04FF" w:rsidRDefault="0028210F" w:rsidP="0082392E">
            <w:pPr>
              <w:pStyle w:val="Bodycopy"/>
            </w:pPr>
            <w:r>
              <w:t>The unit of competency VU23165 Observe and manage the safe operation</w:t>
            </w:r>
            <w:r w:rsidRPr="003E2AFF">
              <w:t xml:space="preserve"> of plant and equipment around overhead and underground asset</w:t>
            </w:r>
            <w:r>
              <w:t>s, details the range of personal protective clothing and equipment (PPE) that must be worn where the work situation warrants it to achieve the learning outcomes.</w:t>
            </w:r>
          </w:p>
        </w:tc>
      </w:tr>
      <w:tr w:rsidR="0028210F" w:rsidRPr="00982853" w14:paraId="7561DA5E" w14:textId="77777777" w:rsidTr="001F4826">
        <w:tc>
          <w:tcPr>
            <w:tcW w:w="3689" w:type="dxa"/>
            <w:gridSpan w:val="4"/>
          </w:tcPr>
          <w:p w14:paraId="1FBB7011" w14:textId="77777777" w:rsidR="0028210F" w:rsidRPr="009F04FF" w:rsidRDefault="0028210F" w:rsidP="001F4826">
            <w:pPr>
              <w:pStyle w:val="SectionBSubsection2"/>
            </w:pPr>
            <w:bookmarkStart w:id="47" w:name="_Toc103624546"/>
            <w:r w:rsidRPr="009F04FF">
              <w:t>Resources</w:t>
            </w:r>
            <w:bookmarkEnd w:id="47"/>
            <w:r w:rsidRPr="009F04FF">
              <w:t xml:space="preserve"> </w:t>
            </w:r>
          </w:p>
        </w:tc>
        <w:tc>
          <w:tcPr>
            <w:tcW w:w="5525" w:type="dxa"/>
            <w:gridSpan w:val="3"/>
            <w:tcBorders>
              <w:bottom w:val="single" w:sz="4" w:space="0" w:color="auto"/>
            </w:tcBorders>
          </w:tcPr>
          <w:p w14:paraId="74C7012F" w14:textId="77777777" w:rsidR="0028210F" w:rsidRPr="00EC49EF" w:rsidRDefault="0028210F" w:rsidP="0082392E">
            <w:pPr>
              <w:pStyle w:val="Bodycopy"/>
            </w:pPr>
            <w:r w:rsidRPr="00EC49EF">
              <w:t>Standard 5.14 AQTF 2021 Standards for Accredited Courses</w:t>
            </w:r>
          </w:p>
          <w:p w14:paraId="11854D15" w14:textId="77777777" w:rsidR="0028210F" w:rsidRPr="00EC49EF" w:rsidRDefault="0028210F" w:rsidP="0082392E">
            <w:pPr>
              <w:pStyle w:val="Bodycopy"/>
            </w:pPr>
            <w:r w:rsidRPr="00EC49EF">
              <w:t>Resources that are essential for the delivery of the Course in Workplace Spotting for Service Assets are detailed in the unit</w:t>
            </w:r>
            <w:r>
              <w:t>s</w:t>
            </w:r>
            <w:r w:rsidRPr="00EC49EF">
              <w:t xml:space="preserve"> of competency comprising the program.</w:t>
            </w:r>
          </w:p>
          <w:p w14:paraId="41EACC69" w14:textId="77777777" w:rsidR="0028210F" w:rsidRPr="00EC49EF" w:rsidRDefault="0028210F" w:rsidP="0082392E">
            <w:pPr>
              <w:pStyle w:val="Bodycopy"/>
            </w:pPr>
            <w:r w:rsidRPr="00EC49EF">
              <w:t>Physical resources include</w:t>
            </w:r>
            <w:r>
              <w:t>,</w:t>
            </w:r>
            <w:r w:rsidRPr="00EC49EF">
              <w:t xml:space="preserve"> but are not limited to:</w:t>
            </w:r>
          </w:p>
          <w:p w14:paraId="67B0B14F" w14:textId="77777777" w:rsidR="0028210F" w:rsidRPr="00EC49EF" w:rsidRDefault="0028210F" w:rsidP="001F4826">
            <w:pPr>
              <w:pStyle w:val="ListBullet"/>
            </w:pPr>
            <w:r>
              <w:t>m</w:t>
            </w:r>
            <w:r w:rsidRPr="00EC49EF">
              <w:t>obile plant</w:t>
            </w:r>
          </w:p>
          <w:p w14:paraId="008F0363" w14:textId="77777777" w:rsidR="0028210F" w:rsidRPr="00EC49EF" w:rsidRDefault="0028210F" w:rsidP="001F4826">
            <w:pPr>
              <w:pStyle w:val="ListBullet"/>
            </w:pPr>
            <w:r w:rsidRPr="00EC49EF">
              <w:t>audio/visual materials depicting spotting</w:t>
            </w:r>
            <w:r w:rsidRPr="00EC49EF">
              <w:rPr>
                <w:spacing w:val="-17"/>
              </w:rPr>
              <w:t xml:space="preserve"> </w:t>
            </w:r>
            <w:r w:rsidRPr="00EC49EF">
              <w:t>situations, techniques, adverse incidents, overhead and underground</w:t>
            </w:r>
            <w:r w:rsidRPr="00EC49EF">
              <w:rPr>
                <w:spacing w:val="-2"/>
              </w:rPr>
              <w:t xml:space="preserve"> </w:t>
            </w:r>
            <w:r w:rsidRPr="00EC49EF">
              <w:t>assets</w:t>
            </w:r>
          </w:p>
          <w:p w14:paraId="09819EB9" w14:textId="77777777" w:rsidR="0028210F" w:rsidRPr="00EC49EF" w:rsidRDefault="0028210F" w:rsidP="001F4826">
            <w:pPr>
              <w:pStyle w:val="ListBullet"/>
            </w:pPr>
            <w:r w:rsidRPr="00EC49EF">
              <w:t xml:space="preserve">examples of approved communication </w:t>
            </w:r>
            <w:r w:rsidRPr="00EC49EF">
              <w:rPr>
                <w:spacing w:val="-6"/>
              </w:rPr>
              <w:t xml:space="preserve">and </w:t>
            </w:r>
            <w:r w:rsidRPr="00EC49EF">
              <w:t>measurement equipment and</w:t>
            </w:r>
            <w:r w:rsidRPr="00EC49EF">
              <w:rPr>
                <w:spacing w:val="-5"/>
              </w:rPr>
              <w:t xml:space="preserve"> </w:t>
            </w:r>
            <w:r w:rsidRPr="00EC49EF">
              <w:t>tools</w:t>
            </w:r>
          </w:p>
          <w:p w14:paraId="4CB2C3B3" w14:textId="77777777" w:rsidR="0028210F" w:rsidRPr="00EC49EF" w:rsidRDefault="0028210F" w:rsidP="001F4826">
            <w:pPr>
              <w:pStyle w:val="ListBullet"/>
            </w:pPr>
            <w:r w:rsidRPr="00EC49EF">
              <w:t>PPE</w:t>
            </w:r>
          </w:p>
          <w:p w14:paraId="010A7A9E" w14:textId="77777777" w:rsidR="0028210F" w:rsidRPr="00EC49EF" w:rsidRDefault="0028210F" w:rsidP="001F4826">
            <w:pPr>
              <w:pStyle w:val="ListBullet"/>
            </w:pPr>
            <w:r>
              <w:rPr>
                <w:lang w:val="en-AU"/>
              </w:rPr>
              <w:t>r</w:t>
            </w:r>
            <w:r w:rsidRPr="00EC49EF">
              <w:rPr>
                <w:lang w:val="en-AU"/>
              </w:rPr>
              <w:t>esources include teachers/trainers who meet the AQTF Essential Conditions and Standards for Initial/Continuing Registration</w:t>
            </w:r>
          </w:p>
          <w:p w14:paraId="0A0EAD42" w14:textId="77777777" w:rsidR="0028210F" w:rsidRPr="00EC49EF" w:rsidRDefault="0028210F" w:rsidP="0082392E">
            <w:pPr>
              <w:pStyle w:val="Bodycopy"/>
            </w:pPr>
            <w:r w:rsidRPr="00EC49EF">
              <w:t>Training must be undertaken by a person or persons in accordance with:</w:t>
            </w:r>
          </w:p>
          <w:p w14:paraId="701976BF" w14:textId="77777777" w:rsidR="0028210F" w:rsidRPr="00EC49EF" w:rsidRDefault="0028210F" w:rsidP="001F4826">
            <w:pPr>
              <w:pStyle w:val="ListBullet"/>
              <w:rPr>
                <w:rFonts w:eastAsia="Arial"/>
              </w:rPr>
            </w:pPr>
            <w:r w:rsidRPr="00EC49EF">
              <w:rPr>
                <w:rFonts w:eastAsia="Arial"/>
              </w:rPr>
              <w:t>Standard 1.4 of the AQTF: Essential Conditions and Standards for Initial/Continuing Registration and Guideline 3 of the VRQA Guidelines for VET Providers,</w:t>
            </w:r>
          </w:p>
          <w:p w14:paraId="1BED6474" w14:textId="77777777" w:rsidR="0028210F" w:rsidRPr="00EC49EF" w:rsidRDefault="0028210F" w:rsidP="0082392E">
            <w:pPr>
              <w:pStyle w:val="Bodycopy"/>
            </w:pPr>
            <w:r w:rsidRPr="00EC49EF">
              <w:t xml:space="preserve">or </w:t>
            </w:r>
          </w:p>
          <w:p w14:paraId="7D3376F3" w14:textId="77777777" w:rsidR="0028210F" w:rsidRPr="00EC49EF" w:rsidRDefault="0028210F" w:rsidP="001F4826">
            <w:pPr>
              <w:pStyle w:val="ListBullet"/>
              <w:rPr>
                <w:rFonts w:eastAsia="Arial"/>
              </w:rPr>
            </w:pPr>
            <w:r w:rsidRPr="00EC49EF">
              <w:rPr>
                <w:rFonts w:eastAsia="Arial"/>
              </w:rPr>
              <w:t>the Standards for Registered Training Organisations 2015 (SRTOs),</w:t>
            </w:r>
          </w:p>
          <w:p w14:paraId="3A674D0D" w14:textId="77777777" w:rsidR="0028210F" w:rsidRPr="00EC49EF" w:rsidRDefault="0028210F" w:rsidP="0082392E">
            <w:pPr>
              <w:pStyle w:val="Bodycopy"/>
            </w:pPr>
            <w:r w:rsidRPr="00EC49EF">
              <w:t>or</w:t>
            </w:r>
          </w:p>
          <w:p w14:paraId="2803C078" w14:textId="77777777" w:rsidR="0028210F" w:rsidRPr="00F73C9E" w:rsidRDefault="0028210F" w:rsidP="001F4826">
            <w:pPr>
              <w:pStyle w:val="ListBullet"/>
            </w:pPr>
            <w:r w:rsidRPr="00EC49EF">
              <w:rPr>
                <w:rFonts w:eastAsia="Arial"/>
              </w:rPr>
              <w:t>the relevant standards and Guidelines for RTOs at the time of assessment.</w:t>
            </w:r>
          </w:p>
          <w:p w14:paraId="32FB7FC8" w14:textId="77777777" w:rsidR="0028210F" w:rsidRPr="00EC49EF" w:rsidRDefault="0028210F" w:rsidP="001F4826">
            <w:pPr>
              <w:pStyle w:val="ListBullet"/>
            </w:pPr>
            <w:r>
              <w:t>A unit of competency imported from a training package must reflect the requirements for resources / trainers specified in the associated training package.</w:t>
            </w:r>
          </w:p>
        </w:tc>
      </w:tr>
      <w:tr w:rsidR="0028210F" w:rsidRPr="00982853" w14:paraId="4AA5D5AE" w14:textId="77777777" w:rsidTr="001F4826">
        <w:tc>
          <w:tcPr>
            <w:tcW w:w="3689" w:type="dxa"/>
            <w:gridSpan w:val="4"/>
            <w:tcBorders>
              <w:right w:val="nil"/>
            </w:tcBorders>
            <w:shd w:val="clear" w:color="auto" w:fill="D9E2F3"/>
          </w:tcPr>
          <w:p w14:paraId="460349A0" w14:textId="77777777" w:rsidR="0028210F" w:rsidRPr="009F04FF" w:rsidRDefault="0028210F" w:rsidP="001F4826">
            <w:pPr>
              <w:pStyle w:val="SectionBSubsection"/>
            </w:pPr>
            <w:bookmarkStart w:id="48" w:name="_Toc103624547"/>
            <w:r w:rsidRPr="009F04FF">
              <w:t>Pathways and articulation</w:t>
            </w:r>
            <w:bookmarkEnd w:id="48"/>
            <w:r w:rsidRPr="009F04FF">
              <w:t xml:space="preserve"> </w:t>
            </w:r>
          </w:p>
        </w:tc>
        <w:tc>
          <w:tcPr>
            <w:tcW w:w="5525" w:type="dxa"/>
            <w:gridSpan w:val="3"/>
            <w:tcBorders>
              <w:left w:val="nil"/>
            </w:tcBorders>
            <w:shd w:val="clear" w:color="auto" w:fill="D9E2F3"/>
          </w:tcPr>
          <w:p w14:paraId="072C542C" w14:textId="77777777" w:rsidR="0028210F" w:rsidRPr="001621F2" w:rsidRDefault="0028210F" w:rsidP="001F4826">
            <w:pPr>
              <w:pStyle w:val="Standard"/>
              <w:rPr>
                <w:color w:val="auto"/>
              </w:rPr>
            </w:pPr>
          </w:p>
        </w:tc>
      </w:tr>
      <w:tr w:rsidR="0028210F" w:rsidRPr="00982853" w14:paraId="2E935EA2" w14:textId="77777777" w:rsidTr="001F4826">
        <w:tc>
          <w:tcPr>
            <w:tcW w:w="3689" w:type="dxa"/>
            <w:gridSpan w:val="4"/>
          </w:tcPr>
          <w:p w14:paraId="570348CE" w14:textId="77777777" w:rsidR="0028210F" w:rsidRPr="00440E33" w:rsidRDefault="0028210F" w:rsidP="001F4826"/>
        </w:tc>
        <w:tc>
          <w:tcPr>
            <w:tcW w:w="5525" w:type="dxa"/>
            <w:gridSpan w:val="3"/>
            <w:tcBorders>
              <w:bottom w:val="single" w:sz="4" w:space="0" w:color="auto"/>
            </w:tcBorders>
          </w:tcPr>
          <w:p w14:paraId="340CE373" w14:textId="77777777" w:rsidR="0028210F" w:rsidRPr="00503FD1" w:rsidRDefault="0028210F" w:rsidP="0082392E">
            <w:pPr>
              <w:pStyle w:val="Bodycopy"/>
            </w:pPr>
            <w:r w:rsidRPr="00503FD1">
              <w:t>Standard 5.10 AQTF 2021 Standards for Accredited Courses</w:t>
            </w:r>
          </w:p>
          <w:p w14:paraId="6D7E79BB" w14:textId="77777777" w:rsidR="0028210F" w:rsidRDefault="0028210F" w:rsidP="001F4826">
            <w:pPr>
              <w:tabs>
                <w:tab w:val="left" w:pos="2185"/>
              </w:tabs>
              <w:rPr>
                <w:rStyle w:val="BodycopyChar"/>
              </w:rPr>
            </w:pPr>
            <w:r w:rsidRPr="00A84880">
              <w:rPr>
                <w:rFonts w:cs="Arial"/>
                <w:szCs w:val="19"/>
                <w:lang w:val="en-AU" w:eastAsia="en-US"/>
              </w:rPr>
              <w:t>There are no formal articulation arrangements in place at the time of accredi</w:t>
            </w:r>
            <w:r>
              <w:rPr>
                <w:rFonts w:cs="Arial"/>
                <w:szCs w:val="19"/>
                <w:lang w:val="en-AU" w:eastAsia="en-US"/>
              </w:rPr>
              <w:t xml:space="preserve">tation </w:t>
            </w:r>
            <w:r w:rsidRPr="00B31578">
              <w:rPr>
                <w:rStyle w:val="BodycopyChar"/>
              </w:rPr>
              <w:t>for the Course in Workplace Spotting for Service Assets. Persons who have already completed the unit HLTAID</w:t>
            </w:r>
            <w:r>
              <w:rPr>
                <w:rStyle w:val="BodycopyChar"/>
              </w:rPr>
              <w:t>011</w:t>
            </w:r>
            <w:r w:rsidRPr="00B31578">
              <w:rPr>
                <w:rStyle w:val="BodycopyChar"/>
              </w:rPr>
              <w:t xml:space="preserve"> Provide first aid, will receive a credit for that unit in this course</w:t>
            </w:r>
            <w:r>
              <w:rPr>
                <w:rStyle w:val="BodycopyChar"/>
              </w:rPr>
              <w:t>.</w:t>
            </w:r>
          </w:p>
          <w:p w14:paraId="2810FBAA" w14:textId="77777777" w:rsidR="0028210F" w:rsidRPr="00A84880" w:rsidRDefault="0028210F" w:rsidP="001F4826">
            <w:pPr>
              <w:tabs>
                <w:tab w:val="left" w:pos="2185"/>
              </w:tabs>
              <w:rPr>
                <w:rStyle w:val="Hyperlink"/>
              </w:rPr>
            </w:pPr>
            <w:r>
              <w:rPr>
                <w:rStyle w:val="BodycopyChar"/>
              </w:rPr>
              <w:t xml:space="preserve">Refer to </w:t>
            </w:r>
            <w:hyperlink r:id="rId24" w:history="1">
              <w:r>
                <w:rPr>
                  <w:rStyle w:val="Hyperlink"/>
                </w:rPr>
                <w:t>click here</w:t>
              </w:r>
            </w:hyperlink>
          </w:p>
        </w:tc>
      </w:tr>
      <w:tr w:rsidR="0028210F" w:rsidRPr="00982853" w14:paraId="1E1AEF43" w14:textId="77777777" w:rsidTr="001F4826">
        <w:tc>
          <w:tcPr>
            <w:tcW w:w="3689" w:type="dxa"/>
            <w:gridSpan w:val="4"/>
            <w:tcBorders>
              <w:right w:val="nil"/>
            </w:tcBorders>
            <w:shd w:val="clear" w:color="auto" w:fill="D9E2F3"/>
          </w:tcPr>
          <w:p w14:paraId="66A23754" w14:textId="77777777" w:rsidR="0028210F" w:rsidRPr="009F04FF" w:rsidRDefault="0028210F" w:rsidP="001F4826">
            <w:pPr>
              <w:pStyle w:val="SectionBSubsection"/>
            </w:pPr>
            <w:bookmarkStart w:id="49" w:name="_Toc103624548"/>
            <w:r w:rsidRPr="009F04FF">
              <w:t>Ongoing monitoring and evaluation</w:t>
            </w:r>
            <w:bookmarkEnd w:id="49"/>
          </w:p>
        </w:tc>
        <w:tc>
          <w:tcPr>
            <w:tcW w:w="5525" w:type="dxa"/>
            <w:gridSpan w:val="3"/>
            <w:tcBorders>
              <w:left w:val="nil"/>
            </w:tcBorders>
            <w:shd w:val="clear" w:color="auto" w:fill="D9E2F3"/>
          </w:tcPr>
          <w:p w14:paraId="7831807B" w14:textId="77777777" w:rsidR="0028210F" w:rsidRPr="001621F2" w:rsidRDefault="0028210F" w:rsidP="001F4826">
            <w:pPr>
              <w:pStyle w:val="Standard"/>
              <w:rPr>
                <w:color w:val="auto"/>
              </w:rPr>
            </w:pPr>
          </w:p>
        </w:tc>
      </w:tr>
      <w:tr w:rsidR="0028210F" w:rsidRPr="00982853" w14:paraId="65E38D2F" w14:textId="77777777" w:rsidTr="001F4826">
        <w:tc>
          <w:tcPr>
            <w:tcW w:w="3689" w:type="dxa"/>
            <w:gridSpan w:val="4"/>
          </w:tcPr>
          <w:p w14:paraId="0A59AB7E" w14:textId="77777777" w:rsidR="0028210F" w:rsidRPr="00440E33" w:rsidRDefault="0028210F" w:rsidP="001F4826"/>
        </w:tc>
        <w:tc>
          <w:tcPr>
            <w:tcW w:w="5525" w:type="dxa"/>
            <w:gridSpan w:val="3"/>
          </w:tcPr>
          <w:p w14:paraId="2D14C58F" w14:textId="77777777" w:rsidR="0028210F" w:rsidRPr="00E05AC3" w:rsidRDefault="0028210F" w:rsidP="0082392E">
            <w:pPr>
              <w:pStyle w:val="Bodycopy"/>
            </w:pPr>
            <w:r w:rsidRPr="00E05AC3">
              <w:t>Standard 5.15 AQTF 2021 Standards for Accredited Courses</w:t>
            </w:r>
          </w:p>
          <w:p w14:paraId="10EBCF0D" w14:textId="77777777" w:rsidR="0028210F" w:rsidRDefault="0028210F" w:rsidP="0082392E">
            <w:pPr>
              <w:pStyle w:val="Bodycopy"/>
            </w:pPr>
            <w:r>
              <w:t>The Curriculum Maintenance Manager (CMM) for Building and Construction is responsible for the ongoing monitoring and evaluation of the Course in Workplace Spotting for Service Assets.</w:t>
            </w:r>
          </w:p>
          <w:p w14:paraId="4172DFDE" w14:textId="77777777" w:rsidR="0028210F" w:rsidRDefault="0028210F" w:rsidP="0082392E">
            <w:pPr>
              <w:pStyle w:val="Bodycopy"/>
            </w:pPr>
            <w:r>
              <w:t>A formal course evaluation by the CMM will normally be undertaken halfway through the accreditation period.</w:t>
            </w:r>
          </w:p>
          <w:p w14:paraId="6F031FB0" w14:textId="77777777" w:rsidR="0028210F" w:rsidRPr="009F04FF" w:rsidRDefault="0028210F" w:rsidP="0082392E">
            <w:pPr>
              <w:pStyle w:val="Bodycopy"/>
            </w:pPr>
            <w:r>
              <w:t>The Victorian Registration and Qualifications Authority (VRQA) will be notified of any significant changes required to the course.</w:t>
            </w:r>
          </w:p>
        </w:tc>
      </w:tr>
    </w:tbl>
    <w:p w14:paraId="48F821CA" w14:textId="58651763" w:rsidR="00E46FC8" w:rsidRDefault="00E46FC8" w:rsidP="0028210F"/>
    <w:p w14:paraId="4F4DA0EE" w14:textId="77777777" w:rsidR="0028210F" w:rsidRDefault="0028210F" w:rsidP="0028210F">
      <w:pPr>
        <w:sectPr w:rsidR="0028210F" w:rsidSect="00E50851">
          <w:headerReference w:type="default" r:id="rId25"/>
          <w:pgSz w:w="11906" w:h="16838" w:code="9"/>
          <w:pgMar w:top="1440" w:right="1440" w:bottom="1440" w:left="1440" w:header="709" w:footer="709" w:gutter="0"/>
          <w:cols w:space="708"/>
          <w:docGrid w:linePitch="360"/>
        </w:sectPr>
      </w:pPr>
    </w:p>
    <w:p w14:paraId="12E72C33" w14:textId="77777777" w:rsidR="0028210F" w:rsidRPr="00982853" w:rsidRDefault="0028210F" w:rsidP="0028210F">
      <w:pPr>
        <w:pStyle w:val="Heading1"/>
      </w:pPr>
      <w:bookmarkStart w:id="50" w:name="_Toc74134249"/>
      <w:bookmarkStart w:id="51" w:name="_Toc74136167"/>
      <w:bookmarkStart w:id="52" w:name="_Toc78884802"/>
      <w:bookmarkStart w:id="53" w:name="_Toc103624549"/>
      <w:r w:rsidRPr="00982853">
        <w:t>Section C—Units of competency</w:t>
      </w:r>
      <w:bookmarkEnd w:id="50"/>
      <w:bookmarkEnd w:id="51"/>
      <w:bookmarkEnd w:id="52"/>
      <w:bookmarkEnd w:id="53"/>
    </w:p>
    <w:p w14:paraId="49975DAB" w14:textId="77777777" w:rsidR="0028210F" w:rsidRPr="006A5189" w:rsidRDefault="0028210F" w:rsidP="0028210F">
      <w:pPr>
        <w:pStyle w:val="Heading1"/>
      </w:pPr>
      <w:bookmarkStart w:id="54" w:name="_Toc78884803"/>
      <w:bookmarkStart w:id="55" w:name="_Toc103624550"/>
      <w:r w:rsidRPr="006E66E4">
        <w:t>Table of contents</w:t>
      </w:r>
      <w:bookmarkEnd w:id="54"/>
      <w:bookmarkEnd w:id="55"/>
    </w:p>
    <w:p w14:paraId="4EF14B5A" w14:textId="386EB6BA" w:rsidR="0028210F" w:rsidRDefault="0028210F" w:rsidP="0028210F">
      <w:pPr>
        <w:pStyle w:val="TOC1"/>
        <w:rPr>
          <w:noProof/>
        </w:rPr>
      </w:pPr>
      <w:r>
        <w:fldChar w:fldCharType="begin"/>
      </w:r>
      <w:r>
        <w:instrText xml:space="preserve"> TOC \b a \* MERGEFORMAT </w:instrText>
      </w:r>
      <w:r>
        <w:fldChar w:fldCharType="separate"/>
      </w:r>
      <w:r w:rsidRPr="002F7027">
        <w:rPr>
          <w:noProof/>
        </w:rPr>
        <w:t>VU</w:t>
      </w:r>
      <w:r>
        <w:rPr>
          <w:noProof/>
        </w:rPr>
        <w:t>23165 Observe and manage the safe operation</w:t>
      </w:r>
      <w:r w:rsidRPr="005103C3">
        <w:rPr>
          <w:noProof/>
        </w:rPr>
        <w:t xml:space="preserve"> of plant and equipment around overhead and underground assets</w:t>
      </w:r>
      <w:r>
        <w:rPr>
          <w:noProof/>
        </w:rPr>
        <w:tab/>
      </w:r>
      <w:r>
        <w:rPr>
          <w:noProof/>
        </w:rPr>
        <w:fldChar w:fldCharType="begin"/>
      </w:r>
      <w:r>
        <w:rPr>
          <w:noProof/>
        </w:rPr>
        <w:instrText xml:space="preserve"> PAGEREF _Toc74138962 \h </w:instrText>
      </w:r>
      <w:r>
        <w:rPr>
          <w:noProof/>
        </w:rPr>
      </w:r>
      <w:r>
        <w:rPr>
          <w:noProof/>
        </w:rPr>
        <w:fldChar w:fldCharType="separate"/>
      </w:r>
      <w:r w:rsidR="00AE1D3A">
        <w:rPr>
          <w:noProof/>
        </w:rPr>
        <w:t>1</w:t>
      </w:r>
      <w:r w:rsidR="002D5197">
        <w:rPr>
          <w:noProof/>
        </w:rPr>
        <w:t>9</w:t>
      </w:r>
      <w:r>
        <w:rPr>
          <w:noProof/>
        </w:rPr>
        <w:fldChar w:fldCharType="end"/>
      </w:r>
    </w:p>
    <w:p w14:paraId="45D4E045" w14:textId="77777777" w:rsidR="0028210F" w:rsidRDefault="0028210F" w:rsidP="0028210F">
      <w:pPr>
        <w:sectPr w:rsidR="0028210F" w:rsidSect="00E50851">
          <w:headerReference w:type="default" r:id="rId26"/>
          <w:pgSz w:w="11906" w:h="16838" w:code="9"/>
          <w:pgMar w:top="1440" w:right="1440" w:bottom="1440" w:left="1440" w:header="709" w:footer="709" w:gutter="0"/>
          <w:cols w:space="708"/>
          <w:docGrid w:linePitch="360"/>
        </w:sectPr>
      </w:pPr>
      <w:r>
        <w:fldChar w:fldCharType="end"/>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958"/>
        <w:gridCol w:w="5562"/>
      </w:tblGrid>
      <w:tr w:rsidR="0028210F" w:rsidRPr="003D2E2D" w14:paraId="3006995A" w14:textId="77777777" w:rsidTr="001F4826">
        <w:trPr>
          <w:trHeight w:val="1021"/>
        </w:trPr>
        <w:tc>
          <w:tcPr>
            <w:tcW w:w="2694" w:type="dxa"/>
            <w:gridSpan w:val="2"/>
          </w:tcPr>
          <w:p w14:paraId="60616328" w14:textId="77777777" w:rsidR="0028210F" w:rsidRPr="003D2E2D" w:rsidRDefault="0028210F" w:rsidP="0082392E">
            <w:pPr>
              <w:pStyle w:val="Bold"/>
            </w:pPr>
            <w:bookmarkStart w:id="56" w:name="_Toc74138663"/>
            <w:r w:rsidRPr="003D2E2D">
              <w:t>UNIT CODE</w:t>
            </w:r>
            <w:bookmarkEnd w:id="56"/>
          </w:p>
        </w:tc>
        <w:tc>
          <w:tcPr>
            <w:tcW w:w="6520" w:type="dxa"/>
            <w:gridSpan w:val="2"/>
          </w:tcPr>
          <w:p w14:paraId="1325E674" w14:textId="5BDB0E4B" w:rsidR="0028210F" w:rsidRPr="00513798" w:rsidRDefault="0028210F" w:rsidP="001F4826">
            <w:pPr>
              <w:pStyle w:val="SectionCsubsection"/>
              <w:spacing w:before="0" w:after="0"/>
            </w:pPr>
            <w:bookmarkStart w:id="57" w:name="_Toc74138664"/>
            <w:bookmarkStart w:id="58" w:name="_Toc74138825"/>
            <w:bookmarkStart w:id="59" w:name="a"/>
            <w:bookmarkStart w:id="60" w:name="_Toc74138962"/>
            <w:r w:rsidRPr="00513798">
              <w:t>VU</w:t>
            </w:r>
            <w:bookmarkEnd w:id="57"/>
            <w:bookmarkEnd w:id="58"/>
            <w:bookmarkEnd w:id="59"/>
            <w:bookmarkEnd w:id="60"/>
            <w:r>
              <w:t>23165</w:t>
            </w:r>
          </w:p>
        </w:tc>
      </w:tr>
      <w:tr w:rsidR="0028210F" w:rsidRPr="00982853" w14:paraId="7584F1E7" w14:textId="77777777" w:rsidTr="001F4826">
        <w:trPr>
          <w:trHeight w:val="1021"/>
        </w:trPr>
        <w:tc>
          <w:tcPr>
            <w:tcW w:w="2694" w:type="dxa"/>
            <w:gridSpan w:val="2"/>
          </w:tcPr>
          <w:p w14:paraId="0835E7CB" w14:textId="77777777" w:rsidR="0028210F" w:rsidRPr="00F12FE9" w:rsidRDefault="0028210F" w:rsidP="0082392E">
            <w:pPr>
              <w:pStyle w:val="Bold"/>
            </w:pPr>
            <w:bookmarkStart w:id="61" w:name="_Toc74138665"/>
            <w:r w:rsidRPr="00F12FE9">
              <w:t>UNIT TITLE</w:t>
            </w:r>
            <w:bookmarkEnd w:id="61"/>
          </w:p>
        </w:tc>
        <w:tc>
          <w:tcPr>
            <w:tcW w:w="6520" w:type="dxa"/>
            <w:gridSpan w:val="2"/>
          </w:tcPr>
          <w:p w14:paraId="1709FEE9" w14:textId="77777777" w:rsidR="0028210F" w:rsidRPr="00513798" w:rsidRDefault="0028210F" w:rsidP="001F4826">
            <w:pPr>
              <w:pStyle w:val="SectionCsubsection"/>
              <w:spacing w:before="0" w:after="0"/>
            </w:pPr>
            <w:r w:rsidRPr="00513798">
              <w:t xml:space="preserve">Observe </w:t>
            </w:r>
            <w:r>
              <w:t>and manage</w:t>
            </w:r>
            <w:r w:rsidRPr="00513798">
              <w:t xml:space="preserve"> the safe operation of plant and equipment around overhead and underground assets</w:t>
            </w:r>
          </w:p>
        </w:tc>
      </w:tr>
      <w:tr w:rsidR="0028210F" w:rsidRPr="00982853" w14:paraId="3D14A0E5" w14:textId="77777777" w:rsidTr="001F4826">
        <w:tc>
          <w:tcPr>
            <w:tcW w:w="2694" w:type="dxa"/>
            <w:gridSpan w:val="2"/>
          </w:tcPr>
          <w:p w14:paraId="08413324" w14:textId="77777777" w:rsidR="0028210F" w:rsidRPr="00773914" w:rsidRDefault="0028210F" w:rsidP="001F4826">
            <w:pPr>
              <w:pStyle w:val="SectionCsubsection"/>
              <w:spacing w:before="0" w:after="0"/>
            </w:pPr>
            <w:r w:rsidRPr="00773914">
              <w:t>APPLICATION</w:t>
            </w:r>
          </w:p>
        </w:tc>
        <w:tc>
          <w:tcPr>
            <w:tcW w:w="6520" w:type="dxa"/>
            <w:gridSpan w:val="2"/>
          </w:tcPr>
          <w:p w14:paraId="4853A83F" w14:textId="77777777" w:rsidR="0028210F" w:rsidRPr="00B9071F" w:rsidRDefault="0028210F" w:rsidP="0082392E">
            <w:pPr>
              <w:pStyle w:val="Bodycopy"/>
            </w:pPr>
            <w:r w:rsidRPr="00B9071F">
              <w:t>This unit describes the performance outcomes, skills and knowledge required to work with various operators of plant and equipment in the vicinity of service assets on a worksite.</w:t>
            </w:r>
          </w:p>
          <w:p w14:paraId="4C6A4D41" w14:textId="5C58351D" w:rsidR="0028210F" w:rsidRPr="00B9071F" w:rsidRDefault="0028210F" w:rsidP="0082392E">
            <w:pPr>
              <w:pStyle w:val="Bodycopy"/>
            </w:pPr>
            <w:r w:rsidRPr="00B9071F">
              <w:t xml:space="preserve">It requires the ability to observe the operation of plant and </w:t>
            </w:r>
            <w:r w:rsidR="000F5776" w:rsidRPr="00B9071F">
              <w:t>equipment and</w:t>
            </w:r>
            <w:r w:rsidRPr="00B9071F">
              <w:t xml:space="preserve"> warn the equipment operator when they are about to encroach into the No Go Zones</w:t>
            </w:r>
            <w:r w:rsidR="000F5776">
              <w:t xml:space="preserve"> </w:t>
            </w:r>
            <w:r>
              <w:t>(NGZ)</w:t>
            </w:r>
            <w:r w:rsidRPr="00B9071F">
              <w:t xml:space="preserve"> surrounding an overhead or underground asset.</w:t>
            </w:r>
          </w:p>
          <w:p w14:paraId="2522A4AF" w14:textId="77777777" w:rsidR="0028210F" w:rsidRPr="00B9071F" w:rsidRDefault="0028210F" w:rsidP="0082392E">
            <w:pPr>
              <w:pStyle w:val="Bodycopy"/>
            </w:pPr>
            <w:r w:rsidRPr="00B9071F">
              <w:t xml:space="preserve">This unit applies to those who intend to apply for registration as a </w:t>
            </w:r>
            <w:r>
              <w:t>Spotter</w:t>
            </w:r>
            <w:r w:rsidRPr="00B9071F">
              <w:t xml:space="preserve"> with Energy Safe Victoria (ESV).</w:t>
            </w:r>
          </w:p>
        </w:tc>
      </w:tr>
      <w:tr w:rsidR="0028210F" w:rsidRPr="00982853" w14:paraId="7FCE0F07" w14:textId="77777777" w:rsidTr="001F4826">
        <w:tc>
          <w:tcPr>
            <w:tcW w:w="2694" w:type="dxa"/>
            <w:gridSpan w:val="2"/>
          </w:tcPr>
          <w:p w14:paraId="5B6D4A6E" w14:textId="77777777" w:rsidR="0028210F" w:rsidRPr="004317EA" w:rsidRDefault="0028210F" w:rsidP="001F4826">
            <w:pPr>
              <w:pStyle w:val="SectionCsubsection"/>
              <w:spacing w:before="0" w:after="0"/>
            </w:pPr>
            <w:r w:rsidRPr="00367922">
              <w:t>PREREQUISITE UNIT(S)</w:t>
            </w:r>
            <w:r w:rsidRPr="00E3603E">
              <w:t xml:space="preserve"> </w:t>
            </w:r>
          </w:p>
        </w:tc>
        <w:tc>
          <w:tcPr>
            <w:tcW w:w="6520" w:type="dxa"/>
            <w:gridSpan w:val="2"/>
          </w:tcPr>
          <w:p w14:paraId="0ACD449E" w14:textId="77777777" w:rsidR="0028210F" w:rsidRPr="00697218" w:rsidRDefault="0028210F" w:rsidP="0082392E">
            <w:pPr>
              <w:pStyle w:val="Bodycopy"/>
            </w:pPr>
            <w:r w:rsidRPr="00915578">
              <w:t>Nil</w:t>
            </w:r>
          </w:p>
        </w:tc>
      </w:tr>
      <w:tr w:rsidR="0028210F" w:rsidRPr="00982853" w14:paraId="08E2342A" w14:textId="77777777" w:rsidTr="001F4826">
        <w:tc>
          <w:tcPr>
            <w:tcW w:w="2694" w:type="dxa"/>
            <w:gridSpan w:val="2"/>
          </w:tcPr>
          <w:p w14:paraId="1F237123" w14:textId="77777777" w:rsidR="0028210F" w:rsidRPr="00773914" w:rsidRDefault="0028210F" w:rsidP="001F4826">
            <w:pPr>
              <w:pStyle w:val="SectionCsubsection"/>
              <w:spacing w:before="0" w:after="0"/>
            </w:pPr>
            <w:r w:rsidRPr="00773914">
              <w:t>ELEMENTS</w:t>
            </w:r>
          </w:p>
        </w:tc>
        <w:tc>
          <w:tcPr>
            <w:tcW w:w="6520" w:type="dxa"/>
            <w:gridSpan w:val="2"/>
          </w:tcPr>
          <w:p w14:paraId="2DB80D47" w14:textId="77777777" w:rsidR="0028210F" w:rsidRPr="00A2774F" w:rsidRDefault="0028210F" w:rsidP="001F4826">
            <w:pPr>
              <w:pStyle w:val="SectionCsubsection"/>
              <w:spacing w:before="0" w:after="0"/>
            </w:pPr>
            <w:r w:rsidRPr="00A2774F">
              <w:t>PERFORMANCE CRITERIA</w:t>
            </w:r>
          </w:p>
        </w:tc>
      </w:tr>
      <w:tr w:rsidR="0028210F" w:rsidRPr="00982853" w14:paraId="5F8253C7" w14:textId="77777777" w:rsidTr="001F4826">
        <w:tc>
          <w:tcPr>
            <w:tcW w:w="2694" w:type="dxa"/>
            <w:gridSpan w:val="2"/>
          </w:tcPr>
          <w:p w14:paraId="68F7DACA" w14:textId="77777777" w:rsidR="0028210F" w:rsidRPr="001618D5" w:rsidRDefault="0028210F" w:rsidP="001F4826">
            <w:pPr>
              <w:pStyle w:val="Unitexplanatorytext"/>
              <w:spacing w:before="0" w:after="0"/>
            </w:pPr>
            <w:r w:rsidRPr="001618D5">
              <w:t>Elements describe the essential outcomes of a unit of competency.</w:t>
            </w:r>
          </w:p>
        </w:tc>
        <w:tc>
          <w:tcPr>
            <w:tcW w:w="6520" w:type="dxa"/>
            <w:gridSpan w:val="2"/>
          </w:tcPr>
          <w:p w14:paraId="079165AE" w14:textId="77777777" w:rsidR="0028210F" w:rsidRPr="00CF6BDA" w:rsidRDefault="0028210F" w:rsidP="001F4826">
            <w:pPr>
              <w:pStyle w:val="Unitexplanatorytext"/>
              <w:spacing w:before="0" w:after="0"/>
            </w:pPr>
            <w:r w:rsidRPr="00CF6BDA">
              <w:t>Performance criteria describe the required performance needed to demonstrate achievement of the element.</w:t>
            </w:r>
          </w:p>
          <w:p w14:paraId="6FF68612" w14:textId="77777777" w:rsidR="0028210F" w:rsidRPr="00CF6BDA" w:rsidRDefault="0028210F" w:rsidP="001F4826">
            <w:pPr>
              <w:pStyle w:val="Unitexplanatorytext"/>
              <w:spacing w:before="0" w:after="0"/>
            </w:pPr>
            <w:r w:rsidRPr="00CF6BDA">
              <w:t>Assessment of performance is to be consistent with the evidence guide.</w:t>
            </w:r>
          </w:p>
        </w:tc>
      </w:tr>
      <w:tr w:rsidR="0028210F" w:rsidRPr="005A3797" w14:paraId="276864B3" w14:textId="77777777" w:rsidTr="00352E7B">
        <w:tc>
          <w:tcPr>
            <w:tcW w:w="709" w:type="dxa"/>
          </w:tcPr>
          <w:p w14:paraId="25D4E138" w14:textId="77777777" w:rsidR="0028210F" w:rsidRPr="00131EB8" w:rsidRDefault="0028210F" w:rsidP="0082392E">
            <w:pPr>
              <w:pStyle w:val="Bodycopy"/>
            </w:pPr>
            <w:r>
              <w:t>1</w:t>
            </w:r>
          </w:p>
        </w:tc>
        <w:tc>
          <w:tcPr>
            <w:tcW w:w="1985" w:type="dxa"/>
          </w:tcPr>
          <w:p w14:paraId="72D0F8B5" w14:textId="77777777" w:rsidR="0028210F" w:rsidRDefault="0028210F" w:rsidP="0082392E">
            <w:pPr>
              <w:pStyle w:val="Bodycopy"/>
            </w:pPr>
            <w:r>
              <w:t>Identify industry requirements</w:t>
            </w:r>
          </w:p>
        </w:tc>
        <w:tc>
          <w:tcPr>
            <w:tcW w:w="958" w:type="dxa"/>
          </w:tcPr>
          <w:p w14:paraId="55E23003" w14:textId="77777777" w:rsidR="0028210F" w:rsidRPr="00131EB8" w:rsidRDefault="0028210F" w:rsidP="0082392E">
            <w:pPr>
              <w:pStyle w:val="Bodycopy"/>
            </w:pPr>
            <w:r>
              <w:t>1.1</w:t>
            </w:r>
          </w:p>
        </w:tc>
        <w:tc>
          <w:tcPr>
            <w:tcW w:w="5562" w:type="dxa"/>
          </w:tcPr>
          <w:p w14:paraId="6158D175" w14:textId="77777777" w:rsidR="0028210F" w:rsidRDefault="0028210F" w:rsidP="0082392E">
            <w:pPr>
              <w:pStyle w:val="Bodycopy"/>
            </w:pPr>
            <w:r>
              <w:t>I</w:t>
            </w:r>
            <w:r w:rsidRPr="00B8298D">
              <w:t>dentify requirements for operating plant and equipment safely near service assets</w:t>
            </w:r>
          </w:p>
        </w:tc>
      </w:tr>
      <w:tr w:rsidR="0028210F" w:rsidRPr="005A3797" w14:paraId="2F6A3976" w14:textId="77777777" w:rsidTr="00352E7B">
        <w:tc>
          <w:tcPr>
            <w:tcW w:w="709" w:type="dxa"/>
          </w:tcPr>
          <w:p w14:paraId="6AEBEFC8" w14:textId="77777777" w:rsidR="0028210F" w:rsidRDefault="0028210F" w:rsidP="0082392E">
            <w:pPr>
              <w:pStyle w:val="Bodycopy"/>
            </w:pPr>
          </w:p>
        </w:tc>
        <w:tc>
          <w:tcPr>
            <w:tcW w:w="1985" w:type="dxa"/>
          </w:tcPr>
          <w:p w14:paraId="785AB3CE" w14:textId="77777777" w:rsidR="0028210F" w:rsidRDefault="0028210F" w:rsidP="0082392E">
            <w:pPr>
              <w:pStyle w:val="Bodycopy"/>
            </w:pPr>
          </w:p>
        </w:tc>
        <w:tc>
          <w:tcPr>
            <w:tcW w:w="958" w:type="dxa"/>
          </w:tcPr>
          <w:p w14:paraId="4AB0D242" w14:textId="77777777" w:rsidR="0028210F" w:rsidRPr="00131EB8" w:rsidRDefault="0028210F" w:rsidP="0082392E">
            <w:pPr>
              <w:pStyle w:val="Bodycopy"/>
            </w:pPr>
            <w:r>
              <w:t>1.2</w:t>
            </w:r>
          </w:p>
        </w:tc>
        <w:tc>
          <w:tcPr>
            <w:tcW w:w="5562" w:type="dxa"/>
          </w:tcPr>
          <w:p w14:paraId="7C7F0185" w14:textId="77777777" w:rsidR="0028210F" w:rsidRDefault="0028210F" w:rsidP="0082392E">
            <w:pPr>
              <w:pStyle w:val="Bodycopy"/>
            </w:pPr>
            <w:r>
              <w:t xml:space="preserve">Identify requirements for </w:t>
            </w:r>
            <w:r w:rsidRPr="00B8298D">
              <w:t>spotter registration as per state/territory requirements</w:t>
            </w:r>
          </w:p>
        </w:tc>
      </w:tr>
      <w:tr w:rsidR="0028210F" w:rsidRPr="005A3797" w14:paraId="509C3D6B" w14:textId="77777777" w:rsidTr="00352E7B">
        <w:tc>
          <w:tcPr>
            <w:tcW w:w="709" w:type="dxa"/>
          </w:tcPr>
          <w:p w14:paraId="192B3E4F" w14:textId="77777777" w:rsidR="0028210F" w:rsidRDefault="0028210F" w:rsidP="0082392E">
            <w:pPr>
              <w:pStyle w:val="Bodycopy"/>
            </w:pPr>
          </w:p>
        </w:tc>
        <w:tc>
          <w:tcPr>
            <w:tcW w:w="1985" w:type="dxa"/>
          </w:tcPr>
          <w:p w14:paraId="2B021965" w14:textId="77777777" w:rsidR="0028210F" w:rsidRDefault="0028210F" w:rsidP="0082392E">
            <w:pPr>
              <w:pStyle w:val="Bodycopy"/>
            </w:pPr>
          </w:p>
        </w:tc>
        <w:tc>
          <w:tcPr>
            <w:tcW w:w="958" w:type="dxa"/>
          </w:tcPr>
          <w:p w14:paraId="0A94F01E" w14:textId="77777777" w:rsidR="0028210F" w:rsidRPr="00131EB8" w:rsidRDefault="0028210F" w:rsidP="0082392E">
            <w:pPr>
              <w:pStyle w:val="Bodycopy"/>
            </w:pPr>
            <w:r>
              <w:t>1.3</w:t>
            </w:r>
          </w:p>
        </w:tc>
        <w:tc>
          <w:tcPr>
            <w:tcW w:w="5562" w:type="dxa"/>
          </w:tcPr>
          <w:p w14:paraId="0ECC59C3" w14:textId="77777777" w:rsidR="0028210F" w:rsidRDefault="0028210F" w:rsidP="0082392E">
            <w:pPr>
              <w:pStyle w:val="Bodycopy"/>
            </w:pPr>
            <w:r>
              <w:t>Source information and</w:t>
            </w:r>
            <w:r w:rsidRPr="00B8298D">
              <w:t xml:space="preserve"> identify N</w:t>
            </w:r>
            <w:r>
              <w:t xml:space="preserve">o </w:t>
            </w:r>
            <w:r w:rsidRPr="00B8298D">
              <w:t>G</w:t>
            </w:r>
            <w:r>
              <w:t xml:space="preserve">o </w:t>
            </w:r>
            <w:r w:rsidRPr="00B8298D">
              <w:t>Z</w:t>
            </w:r>
            <w:r>
              <w:t>one</w:t>
            </w:r>
            <w:r w:rsidRPr="00B8298D">
              <w:t xml:space="preserve"> clearances to overhead and underground assets</w:t>
            </w:r>
          </w:p>
        </w:tc>
      </w:tr>
      <w:tr w:rsidR="0028210F" w:rsidRPr="005A3797" w14:paraId="7F4451EE" w14:textId="77777777" w:rsidTr="00352E7B">
        <w:tc>
          <w:tcPr>
            <w:tcW w:w="709" w:type="dxa"/>
          </w:tcPr>
          <w:p w14:paraId="14ED18D3" w14:textId="77777777" w:rsidR="0028210F" w:rsidRDefault="0028210F" w:rsidP="0082392E">
            <w:pPr>
              <w:pStyle w:val="Bodycopy"/>
            </w:pPr>
          </w:p>
        </w:tc>
        <w:tc>
          <w:tcPr>
            <w:tcW w:w="1985" w:type="dxa"/>
          </w:tcPr>
          <w:p w14:paraId="66DE2028" w14:textId="77777777" w:rsidR="0028210F" w:rsidRDefault="0028210F" w:rsidP="0082392E">
            <w:pPr>
              <w:pStyle w:val="Bodycopy"/>
            </w:pPr>
          </w:p>
        </w:tc>
        <w:tc>
          <w:tcPr>
            <w:tcW w:w="958" w:type="dxa"/>
          </w:tcPr>
          <w:p w14:paraId="72847FA3" w14:textId="77777777" w:rsidR="0028210F" w:rsidRPr="00131EB8" w:rsidRDefault="0028210F" w:rsidP="0082392E">
            <w:pPr>
              <w:pStyle w:val="Bodycopy"/>
            </w:pPr>
            <w:r>
              <w:t>1.4</w:t>
            </w:r>
          </w:p>
        </w:tc>
        <w:tc>
          <w:tcPr>
            <w:tcW w:w="5562" w:type="dxa"/>
          </w:tcPr>
          <w:p w14:paraId="602179A3" w14:textId="77777777" w:rsidR="0028210F" w:rsidRDefault="0028210F" w:rsidP="0082392E">
            <w:pPr>
              <w:pStyle w:val="Bodycopy"/>
            </w:pPr>
            <w:r>
              <w:t>I</w:t>
            </w:r>
            <w:r w:rsidRPr="00B8298D">
              <w:t>dentify potential hazards, risks and risk control that may apply to mobile plant operating near service assets</w:t>
            </w:r>
          </w:p>
        </w:tc>
      </w:tr>
      <w:tr w:rsidR="0028210F" w:rsidRPr="005A3797" w14:paraId="34AC10D0" w14:textId="77777777" w:rsidTr="00352E7B">
        <w:tc>
          <w:tcPr>
            <w:tcW w:w="709" w:type="dxa"/>
          </w:tcPr>
          <w:p w14:paraId="7B0810FE" w14:textId="77777777" w:rsidR="0028210F" w:rsidRDefault="0028210F" w:rsidP="0082392E">
            <w:pPr>
              <w:pStyle w:val="Bodycopy"/>
            </w:pPr>
          </w:p>
        </w:tc>
        <w:tc>
          <w:tcPr>
            <w:tcW w:w="1985" w:type="dxa"/>
          </w:tcPr>
          <w:p w14:paraId="7F80D216" w14:textId="77777777" w:rsidR="0028210F" w:rsidRDefault="0028210F" w:rsidP="0082392E">
            <w:pPr>
              <w:pStyle w:val="Bodycopy"/>
            </w:pPr>
          </w:p>
        </w:tc>
        <w:tc>
          <w:tcPr>
            <w:tcW w:w="958" w:type="dxa"/>
          </w:tcPr>
          <w:p w14:paraId="0C0892E7" w14:textId="77777777" w:rsidR="0028210F" w:rsidRDefault="0028210F" w:rsidP="0082392E">
            <w:pPr>
              <w:pStyle w:val="Bodycopy"/>
            </w:pPr>
            <w:r>
              <w:t>1.5</w:t>
            </w:r>
          </w:p>
        </w:tc>
        <w:tc>
          <w:tcPr>
            <w:tcW w:w="5562" w:type="dxa"/>
          </w:tcPr>
          <w:p w14:paraId="3FF8539A" w14:textId="77777777" w:rsidR="0028210F" w:rsidRDefault="0028210F" w:rsidP="0082392E">
            <w:pPr>
              <w:pStyle w:val="Bodycopy"/>
            </w:pPr>
            <w:r w:rsidRPr="00B8298D">
              <w:t xml:space="preserve">Identify </w:t>
            </w:r>
            <w:r>
              <w:t>relevant job site safety and risk documentation including relevant permit requirements and conditions</w:t>
            </w:r>
          </w:p>
        </w:tc>
      </w:tr>
      <w:tr w:rsidR="0028210F" w:rsidRPr="005A3797" w14:paraId="2C60F50C" w14:textId="77777777" w:rsidTr="00352E7B">
        <w:tc>
          <w:tcPr>
            <w:tcW w:w="709" w:type="dxa"/>
          </w:tcPr>
          <w:p w14:paraId="480DDB8C" w14:textId="77777777" w:rsidR="0028210F" w:rsidRDefault="0028210F" w:rsidP="0082392E">
            <w:pPr>
              <w:pStyle w:val="Bodycopy"/>
            </w:pPr>
          </w:p>
        </w:tc>
        <w:tc>
          <w:tcPr>
            <w:tcW w:w="1985" w:type="dxa"/>
          </w:tcPr>
          <w:p w14:paraId="56AC577C" w14:textId="77777777" w:rsidR="0028210F" w:rsidRDefault="0028210F" w:rsidP="0082392E">
            <w:pPr>
              <w:pStyle w:val="Bodycopy"/>
            </w:pPr>
          </w:p>
        </w:tc>
        <w:tc>
          <w:tcPr>
            <w:tcW w:w="958" w:type="dxa"/>
          </w:tcPr>
          <w:p w14:paraId="2CA510C8" w14:textId="77777777" w:rsidR="0028210F" w:rsidRDefault="0028210F" w:rsidP="0082392E">
            <w:pPr>
              <w:pStyle w:val="Bodycopy"/>
            </w:pPr>
            <w:r>
              <w:t>1.6</w:t>
            </w:r>
          </w:p>
        </w:tc>
        <w:tc>
          <w:tcPr>
            <w:tcW w:w="5562" w:type="dxa"/>
          </w:tcPr>
          <w:p w14:paraId="53818F3D" w14:textId="77777777" w:rsidR="0028210F" w:rsidRPr="00B8298D" w:rsidRDefault="0028210F" w:rsidP="0082392E">
            <w:pPr>
              <w:pStyle w:val="Bodycopy"/>
            </w:pPr>
            <w:r w:rsidRPr="003A4F9C">
              <w:t>Identify types of service assets and compo</w:t>
            </w:r>
            <w:r>
              <w:t xml:space="preserve">nents that may present within the work </w:t>
            </w:r>
            <w:r w:rsidRPr="003A4F9C">
              <w:t>area</w:t>
            </w:r>
          </w:p>
        </w:tc>
      </w:tr>
      <w:tr w:rsidR="0028210F" w:rsidRPr="005A3797" w14:paraId="37A92EF4" w14:textId="77777777" w:rsidTr="00352E7B">
        <w:tc>
          <w:tcPr>
            <w:tcW w:w="709" w:type="dxa"/>
          </w:tcPr>
          <w:p w14:paraId="1EA597B1" w14:textId="77777777" w:rsidR="0028210F" w:rsidRPr="00131EB8" w:rsidRDefault="0028210F" w:rsidP="0082392E">
            <w:pPr>
              <w:pStyle w:val="Bodycopy"/>
            </w:pPr>
            <w:r>
              <w:t>2</w:t>
            </w:r>
          </w:p>
        </w:tc>
        <w:tc>
          <w:tcPr>
            <w:tcW w:w="1985" w:type="dxa"/>
          </w:tcPr>
          <w:p w14:paraId="51B91BF8" w14:textId="77777777" w:rsidR="0028210F" w:rsidRPr="00131EB8" w:rsidRDefault="0028210F" w:rsidP="0082392E">
            <w:pPr>
              <w:pStyle w:val="Bodycopy"/>
            </w:pPr>
            <w:r>
              <w:t>Plan for safe practice as a Spotter</w:t>
            </w:r>
          </w:p>
        </w:tc>
        <w:tc>
          <w:tcPr>
            <w:tcW w:w="958" w:type="dxa"/>
          </w:tcPr>
          <w:p w14:paraId="4572DB8D" w14:textId="77777777" w:rsidR="0028210F" w:rsidRPr="00131EB8" w:rsidRDefault="0028210F" w:rsidP="0082392E">
            <w:pPr>
              <w:pStyle w:val="Bodycopy"/>
            </w:pPr>
            <w:r>
              <w:t>2</w:t>
            </w:r>
            <w:r w:rsidRPr="00131EB8">
              <w:t>.1</w:t>
            </w:r>
          </w:p>
        </w:tc>
        <w:tc>
          <w:tcPr>
            <w:tcW w:w="5562" w:type="dxa"/>
          </w:tcPr>
          <w:p w14:paraId="625D7D9F" w14:textId="77777777" w:rsidR="0028210F" w:rsidRPr="00F46A5F" w:rsidRDefault="0028210F" w:rsidP="0082392E">
            <w:pPr>
              <w:pStyle w:val="Bodycopy"/>
            </w:pPr>
            <w:r w:rsidRPr="003A4F9C">
              <w:t xml:space="preserve">Identify and review </w:t>
            </w:r>
            <w:r>
              <w:t>Spotter</w:t>
            </w:r>
            <w:r w:rsidRPr="003A4F9C">
              <w:t xml:space="preserve"> duties according to job role</w:t>
            </w:r>
          </w:p>
        </w:tc>
      </w:tr>
      <w:tr w:rsidR="0028210F" w:rsidRPr="005A3797" w14:paraId="4E8ABDF3" w14:textId="77777777" w:rsidTr="00352E7B">
        <w:tc>
          <w:tcPr>
            <w:tcW w:w="709" w:type="dxa"/>
          </w:tcPr>
          <w:p w14:paraId="707B1995" w14:textId="77777777" w:rsidR="0028210F" w:rsidRPr="005A3797" w:rsidRDefault="0028210F" w:rsidP="0082392E">
            <w:pPr>
              <w:pStyle w:val="Bodycopy"/>
            </w:pPr>
          </w:p>
        </w:tc>
        <w:tc>
          <w:tcPr>
            <w:tcW w:w="1985" w:type="dxa"/>
          </w:tcPr>
          <w:p w14:paraId="3D916C41" w14:textId="77777777" w:rsidR="0028210F" w:rsidRPr="00131EB8" w:rsidRDefault="0028210F" w:rsidP="0082392E">
            <w:pPr>
              <w:pStyle w:val="Bodycopy"/>
            </w:pPr>
          </w:p>
        </w:tc>
        <w:tc>
          <w:tcPr>
            <w:tcW w:w="958" w:type="dxa"/>
          </w:tcPr>
          <w:p w14:paraId="0EF2CEA9" w14:textId="77777777" w:rsidR="0028210F" w:rsidRPr="00131EB8" w:rsidRDefault="0028210F" w:rsidP="0082392E">
            <w:pPr>
              <w:pStyle w:val="Bodycopy"/>
            </w:pPr>
            <w:r>
              <w:t>2</w:t>
            </w:r>
            <w:r w:rsidRPr="00131EB8">
              <w:t>.2</w:t>
            </w:r>
          </w:p>
        </w:tc>
        <w:tc>
          <w:tcPr>
            <w:tcW w:w="5562" w:type="dxa"/>
          </w:tcPr>
          <w:p w14:paraId="13EEE318" w14:textId="77777777" w:rsidR="0028210F" w:rsidRPr="00A75520" w:rsidRDefault="0028210F" w:rsidP="0082392E">
            <w:pPr>
              <w:pStyle w:val="Bodycopy"/>
            </w:pPr>
            <w:r w:rsidRPr="003A4F9C">
              <w:t>Identify service assets component parts on job documentation and their potential to impact site safety</w:t>
            </w:r>
          </w:p>
        </w:tc>
      </w:tr>
      <w:tr w:rsidR="0028210F" w:rsidRPr="005A3797" w14:paraId="0D3116D9" w14:textId="77777777" w:rsidTr="00352E7B">
        <w:tc>
          <w:tcPr>
            <w:tcW w:w="709" w:type="dxa"/>
          </w:tcPr>
          <w:p w14:paraId="3BA5EFE4" w14:textId="77777777" w:rsidR="0028210F" w:rsidRPr="005A3797" w:rsidRDefault="0028210F" w:rsidP="0082392E">
            <w:pPr>
              <w:pStyle w:val="Bodycopy"/>
            </w:pPr>
          </w:p>
        </w:tc>
        <w:tc>
          <w:tcPr>
            <w:tcW w:w="1985" w:type="dxa"/>
          </w:tcPr>
          <w:p w14:paraId="67F0C4C8" w14:textId="77777777" w:rsidR="0028210F" w:rsidRPr="00131EB8" w:rsidRDefault="0028210F" w:rsidP="0082392E">
            <w:pPr>
              <w:pStyle w:val="Bodycopy"/>
            </w:pPr>
          </w:p>
        </w:tc>
        <w:tc>
          <w:tcPr>
            <w:tcW w:w="958" w:type="dxa"/>
          </w:tcPr>
          <w:p w14:paraId="1ABA2D63" w14:textId="77777777" w:rsidR="0028210F" w:rsidRPr="00131EB8" w:rsidRDefault="0028210F" w:rsidP="0082392E">
            <w:pPr>
              <w:pStyle w:val="Bodycopy"/>
            </w:pPr>
            <w:r>
              <w:t>2</w:t>
            </w:r>
            <w:r w:rsidRPr="00131EB8">
              <w:t>.3</w:t>
            </w:r>
          </w:p>
        </w:tc>
        <w:tc>
          <w:tcPr>
            <w:tcW w:w="5562" w:type="dxa"/>
          </w:tcPr>
          <w:p w14:paraId="736BE4B0" w14:textId="77777777" w:rsidR="0028210F" w:rsidRPr="00F46A5F" w:rsidRDefault="0028210F" w:rsidP="0082392E">
            <w:pPr>
              <w:pStyle w:val="Bodycopy"/>
            </w:pPr>
            <w:r w:rsidRPr="006E0020">
              <w:t>Source and confirm site and task specific hazard identifica</w:t>
            </w:r>
            <w:r>
              <w:t xml:space="preserve">tion and risk assessment </w:t>
            </w:r>
            <w:r w:rsidRPr="006E0020">
              <w:t>documentation with site manage</w:t>
            </w:r>
            <w:r>
              <w:t>ment</w:t>
            </w:r>
          </w:p>
        </w:tc>
      </w:tr>
      <w:tr w:rsidR="0028210F" w:rsidRPr="005A3797" w14:paraId="367B79EA" w14:textId="77777777" w:rsidTr="00352E7B">
        <w:tc>
          <w:tcPr>
            <w:tcW w:w="709" w:type="dxa"/>
          </w:tcPr>
          <w:p w14:paraId="2F462D51" w14:textId="77777777" w:rsidR="0028210F" w:rsidRPr="005A3797" w:rsidRDefault="0028210F" w:rsidP="0082392E">
            <w:pPr>
              <w:pStyle w:val="Bodycopy"/>
            </w:pPr>
          </w:p>
        </w:tc>
        <w:tc>
          <w:tcPr>
            <w:tcW w:w="1985" w:type="dxa"/>
          </w:tcPr>
          <w:p w14:paraId="324555E4" w14:textId="77777777" w:rsidR="0028210F" w:rsidRPr="00131EB8" w:rsidRDefault="0028210F" w:rsidP="0082392E">
            <w:pPr>
              <w:pStyle w:val="Bodycopy"/>
            </w:pPr>
          </w:p>
        </w:tc>
        <w:tc>
          <w:tcPr>
            <w:tcW w:w="958" w:type="dxa"/>
          </w:tcPr>
          <w:p w14:paraId="28FCE106" w14:textId="77777777" w:rsidR="0028210F" w:rsidRPr="00131EB8" w:rsidRDefault="0028210F" w:rsidP="0082392E">
            <w:pPr>
              <w:pStyle w:val="Bodycopy"/>
            </w:pPr>
            <w:r>
              <w:t>2</w:t>
            </w:r>
            <w:r w:rsidRPr="00131EB8">
              <w:t>.4</w:t>
            </w:r>
          </w:p>
        </w:tc>
        <w:tc>
          <w:tcPr>
            <w:tcW w:w="5562" w:type="dxa"/>
          </w:tcPr>
          <w:p w14:paraId="08516AD1" w14:textId="77777777" w:rsidR="0028210F" w:rsidRPr="00F46A5F" w:rsidRDefault="0028210F" w:rsidP="0082392E">
            <w:pPr>
              <w:pStyle w:val="Bodycopy"/>
            </w:pPr>
            <w:r w:rsidRPr="006E0020">
              <w:t>Review operational and design envelopes and specifications of plant and equipment to be observed</w:t>
            </w:r>
          </w:p>
        </w:tc>
      </w:tr>
      <w:tr w:rsidR="0028210F" w:rsidRPr="005A3797" w14:paraId="4C42E833" w14:textId="77777777" w:rsidTr="00352E7B">
        <w:tc>
          <w:tcPr>
            <w:tcW w:w="709" w:type="dxa"/>
          </w:tcPr>
          <w:p w14:paraId="3A00E35F" w14:textId="77777777" w:rsidR="0028210F" w:rsidRPr="005A3797" w:rsidRDefault="0028210F" w:rsidP="0082392E">
            <w:pPr>
              <w:pStyle w:val="Bodycopy"/>
            </w:pPr>
          </w:p>
        </w:tc>
        <w:tc>
          <w:tcPr>
            <w:tcW w:w="1985" w:type="dxa"/>
          </w:tcPr>
          <w:p w14:paraId="4F1F736D" w14:textId="77777777" w:rsidR="0028210F" w:rsidRPr="005A3797" w:rsidRDefault="0028210F" w:rsidP="0082392E">
            <w:pPr>
              <w:pStyle w:val="Bodycopy"/>
            </w:pPr>
          </w:p>
        </w:tc>
        <w:tc>
          <w:tcPr>
            <w:tcW w:w="958" w:type="dxa"/>
          </w:tcPr>
          <w:p w14:paraId="049BF41E" w14:textId="77777777" w:rsidR="0028210F" w:rsidRPr="005A3797" w:rsidRDefault="0028210F" w:rsidP="0082392E">
            <w:pPr>
              <w:pStyle w:val="Bodycopy"/>
            </w:pPr>
            <w:r>
              <w:t>2</w:t>
            </w:r>
            <w:r w:rsidRPr="005A3797">
              <w:t>.5</w:t>
            </w:r>
          </w:p>
        </w:tc>
        <w:tc>
          <w:tcPr>
            <w:tcW w:w="5562" w:type="dxa"/>
          </w:tcPr>
          <w:p w14:paraId="6DF0DC5E" w14:textId="77777777" w:rsidR="0028210F" w:rsidRPr="00F46A5F" w:rsidRDefault="0028210F" w:rsidP="0082392E">
            <w:pPr>
              <w:pStyle w:val="Bodycopy"/>
            </w:pPr>
            <w:r w:rsidRPr="0048514E">
              <w:t>Confirm accuracy and completeness of site plan and job documentation with site manage</w:t>
            </w:r>
            <w:r>
              <w:t>ment</w:t>
            </w:r>
          </w:p>
        </w:tc>
      </w:tr>
      <w:tr w:rsidR="0028210F" w:rsidRPr="005A3797" w14:paraId="7A23B2B6" w14:textId="77777777" w:rsidTr="00352E7B">
        <w:tc>
          <w:tcPr>
            <w:tcW w:w="709" w:type="dxa"/>
          </w:tcPr>
          <w:p w14:paraId="3DD2D5A7" w14:textId="77777777" w:rsidR="0028210F" w:rsidRPr="005A3797" w:rsidRDefault="0028210F" w:rsidP="0082392E">
            <w:pPr>
              <w:pStyle w:val="Bodycopy"/>
            </w:pPr>
          </w:p>
        </w:tc>
        <w:tc>
          <w:tcPr>
            <w:tcW w:w="1985" w:type="dxa"/>
          </w:tcPr>
          <w:p w14:paraId="5C5B3B70" w14:textId="77777777" w:rsidR="0028210F" w:rsidRPr="005A3797" w:rsidRDefault="0028210F" w:rsidP="0082392E">
            <w:pPr>
              <w:pStyle w:val="Bodycopy"/>
            </w:pPr>
          </w:p>
        </w:tc>
        <w:tc>
          <w:tcPr>
            <w:tcW w:w="958" w:type="dxa"/>
          </w:tcPr>
          <w:p w14:paraId="33041460" w14:textId="77777777" w:rsidR="0028210F" w:rsidRPr="005A3797" w:rsidRDefault="0028210F" w:rsidP="0082392E">
            <w:pPr>
              <w:pStyle w:val="Bodycopy"/>
            </w:pPr>
            <w:r>
              <w:t>2.6</w:t>
            </w:r>
          </w:p>
        </w:tc>
        <w:tc>
          <w:tcPr>
            <w:tcW w:w="5562" w:type="dxa"/>
          </w:tcPr>
          <w:p w14:paraId="3E8E74CD" w14:textId="77777777" w:rsidR="0028210F" w:rsidRPr="00F46A5F" w:rsidRDefault="0028210F" w:rsidP="0082392E">
            <w:pPr>
              <w:pStyle w:val="Bodycopy"/>
            </w:pPr>
            <w:r>
              <w:t>Confirm location of</w:t>
            </w:r>
            <w:r w:rsidRPr="00B54F21">
              <w:t xml:space="preserve"> </w:t>
            </w:r>
            <w:r>
              <w:t>s</w:t>
            </w:r>
            <w:r w:rsidRPr="00B54F21">
              <w:t>ervice assets</w:t>
            </w:r>
            <w:r>
              <w:t xml:space="preserve"> on job documentation and identify additional assets</w:t>
            </w:r>
          </w:p>
        </w:tc>
      </w:tr>
      <w:tr w:rsidR="0028210F" w:rsidRPr="005A3797" w14:paraId="581AA8F5" w14:textId="77777777" w:rsidTr="00352E7B">
        <w:tc>
          <w:tcPr>
            <w:tcW w:w="709" w:type="dxa"/>
          </w:tcPr>
          <w:p w14:paraId="468BF2F1" w14:textId="77777777" w:rsidR="0028210F" w:rsidRPr="005A3797" w:rsidRDefault="0028210F" w:rsidP="0082392E">
            <w:pPr>
              <w:pStyle w:val="Bodycopy"/>
            </w:pPr>
          </w:p>
        </w:tc>
        <w:tc>
          <w:tcPr>
            <w:tcW w:w="1985" w:type="dxa"/>
          </w:tcPr>
          <w:p w14:paraId="01F3E717" w14:textId="77777777" w:rsidR="0028210F" w:rsidRPr="005A3797" w:rsidRDefault="0028210F" w:rsidP="0082392E">
            <w:pPr>
              <w:pStyle w:val="Bodycopy"/>
            </w:pPr>
          </w:p>
        </w:tc>
        <w:tc>
          <w:tcPr>
            <w:tcW w:w="958" w:type="dxa"/>
          </w:tcPr>
          <w:p w14:paraId="04F5012D" w14:textId="77777777" w:rsidR="0028210F" w:rsidRPr="005A3797" w:rsidRDefault="0028210F" w:rsidP="0082392E">
            <w:pPr>
              <w:pStyle w:val="Bodycopy"/>
            </w:pPr>
            <w:r>
              <w:t>2.7</w:t>
            </w:r>
          </w:p>
        </w:tc>
        <w:tc>
          <w:tcPr>
            <w:tcW w:w="5562" w:type="dxa"/>
          </w:tcPr>
          <w:p w14:paraId="463AC815" w14:textId="77777777" w:rsidR="0028210F" w:rsidRPr="00F46A5F" w:rsidRDefault="0028210F" w:rsidP="0082392E">
            <w:pPr>
              <w:pStyle w:val="Bodycopy"/>
            </w:pPr>
            <w:r>
              <w:t>Establish c</w:t>
            </w:r>
            <w:r w:rsidRPr="00F46A5F">
              <w:t>learance distances according to the appropriate No Go Zone Framework/permit documentation.</w:t>
            </w:r>
          </w:p>
        </w:tc>
      </w:tr>
      <w:tr w:rsidR="0028210F" w:rsidRPr="005A3797" w14:paraId="2909401A" w14:textId="77777777" w:rsidTr="00352E7B">
        <w:tc>
          <w:tcPr>
            <w:tcW w:w="709" w:type="dxa"/>
          </w:tcPr>
          <w:p w14:paraId="11D099AC" w14:textId="77777777" w:rsidR="0028210F" w:rsidRPr="005A3797" w:rsidRDefault="0028210F" w:rsidP="0082392E">
            <w:pPr>
              <w:pStyle w:val="Bodycopy"/>
            </w:pPr>
          </w:p>
        </w:tc>
        <w:tc>
          <w:tcPr>
            <w:tcW w:w="1985" w:type="dxa"/>
          </w:tcPr>
          <w:p w14:paraId="0AA406B9" w14:textId="77777777" w:rsidR="0028210F" w:rsidRPr="005A3797" w:rsidRDefault="0028210F" w:rsidP="0082392E">
            <w:pPr>
              <w:pStyle w:val="Bodycopy"/>
            </w:pPr>
          </w:p>
        </w:tc>
        <w:tc>
          <w:tcPr>
            <w:tcW w:w="958" w:type="dxa"/>
          </w:tcPr>
          <w:p w14:paraId="51A29344" w14:textId="77777777" w:rsidR="0028210F" w:rsidRPr="005A3797" w:rsidRDefault="0028210F" w:rsidP="0082392E">
            <w:pPr>
              <w:pStyle w:val="Bodycopy"/>
            </w:pPr>
            <w:r>
              <w:t>2.8</w:t>
            </w:r>
          </w:p>
        </w:tc>
        <w:tc>
          <w:tcPr>
            <w:tcW w:w="5562" w:type="dxa"/>
          </w:tcPr>
          <w:p w14:paraId="64F86A0C" w14:textId="77777777" w:rsidR="0028210F" w:rsidRPr="00F46A5F" w:rsidRDefault="0028210F" w:rsidP="0082392E">
            <w:pPr>
              <w:pStyle w:val="Bodycopy"/>
            </w:pPr>
            <w:r w:rsidRPr="0048514E">
              <w:t>Identify key stakeholders</w:t>
            </w:r>
            <w:r>
              <w:t>,</w:t>
            </w:r>
            <w:r w:rsidRPr="0048514E">
              <w:t xml:space="preserve"> ‘service asset owners’ and key worksite contacts on job documentation</w:t>
            </w:r>
          </w:p>
        </w:tc>
      </w:tr>
      <w:tr w:rsidR="0028210F" w:rsidRPr="00982853" w14:paraId="1172FF87" w14:textId="77777777" w:rsidTr="00352E7B">
        <w:tc>
          <w:tcPr>
            <w:tcW w:w="709" w:type="dxa"/>
          </w:tcPr>
          <w:p w14:paraId="62ECF4F1" w14:textId="77777777" w:rsidR="0028210F" w:rsidRPr="009F04FF" w:rsidRDefault="0028210F" w:rsidP="0082392E">
            <w:pPr>
              <w:pStyle w:val="Bodycopy"/>
            </w:pPr>
          </w:p>
        </w:tc>
        <w:tc>
          <w:tcPr>
            <w:tcW w:w="1985" w:type="dxa"/>
          </w:tcPr>
          <w:p w14:paraId="377DB70A" w14:textId="77777777" w:rsidR="0028210F" w:rsidRPr="005A3797" w:rsidRDefault="0028210F" w:rsidP="0082392E">
            <w:pPr>
              <w:pStyle w:val="Bodycopy"/>
            </w:pPr>
          </w:p>
        </w:tc>
        <w:tc>
          <w:tcPr>
            <w:tcW w:w="958" w:type="dxa"/>
          </w:tcPr>
          <w:p w14:paraId="6CE3CD47" w14:textId="77777777" w:rsidR="0028210F" w:rsidRPr="00F46A5F" w:rsidRDefault="0028210F" w:rsidP="0082392E">
            <w:pPr>
              <w:pStyle w:val="Bodycopy"/>
            </w:pPr>
            <w:r>
              <w:t>2.9</w:t>
            </w:r>
          </w:p>
        </w:tc>
        <w:tc>
          <w:tcPr>
            <w:tcW w:w="5562" w:type="dxa"/>
          </w:tcPr>
          <w:p w14:paraId="7A47040A" w14:textId="77777777" w:rsidR="0028210F" w:rsidRPr="00F46A5F" w:rsidRDefault="0028210F" w:rsidP="0082392E">
            <w:pPr>
              <w:pStyle w:val="Bodycopy"/>
            </w:pPr>
            <w:r w:rsidRPr="009D07CE">
              <w:t xml:space="preserve">Review permit documentation </w:t>
            </w:r>
            <w:r w:rsidRPr="00F46A5F">
              <w:t>for clarity and suitability to the job.</w:t>
            </w:r>
          </w:p>
        </w:tc>
      </w:tr>
      <w:tr w:rsidR="0028210F" w:rsidRPr="00982853" w14:paraId="263E76E6" w14:textId="77777777" w:rsidTr="00352E7B">
        <w:tc>
          <w:tcPr>
            <w:tcW w:w="709" w:type="dxa"/>
          </w:tcPr>
          <w:p w14:paraId="03C19651" w14:textId="77777777" w:rsidR="0028210F" w:rsidRPr="009F04FF" w:rsidRDefault="0028210F" w:rsidP="0082392E">
            <w:pPr>
              <w:pStyle w:val="Bodycopy"/>
            </w:pPr>
          </w:p>
        </w:tc>
        <w:tc>
          <w:tcPr>
            <w:tcW w:w="1985" w:type="dxa"/>
          </w:tcPr>
          <w:p w14:paraId="34B064B6" w14:textId="77777777" w:rsidR="0028210F" w:rsidRPr="005A3797" w:rsidRDefault="0028210F" w:rsidP="0082392E">
            <w:pPr>
              <w:pStyle w:val="Bodycopy"/>
            </w:pPr>
          </w:p>
        </w:tc>
        <w:tc>
          <w:tcPr>
            <w:tcW w:w="958" w:type="dxa"/>
          </w:tcPr>
          <w:p w14:paraId="6E14784D" w14:textId="77777777" w:rsidR="0028210F" w:rsidRPr="00F46A5F" w:rsidRDefault="0028210F" w:rsidP="0082392E">
            <w:pPr>
              <w:pStyle w:val="Bodycopy"/>
            </w:pPr>
            <w:r>
              <w:t>2.10</w:t>
            </w:r>
          </w:p>
        </w:tc>
        <w:tc>
          <w:tcPr>
            <w:tcW w:w="5562" w:type="dxa"/>
          </w:tcPr>
          <w:p w14:paraId="2258082D" w14:textId="77777777" w:rsidR="0028210F" w:rsidRPr="00F46A5F" w:rsidRDefault="0028210F" w:rsidP="0082392E">
            <w:pPr>
              <w:pStyle w:val="Bodycopy"/>
            </w:pPr>
            <w:r>
              <w:t>Seek a</w:t>
            </w:r>
            <w:r w:rsidRPr="00F46A5F">
              <w:t xml:space="preserve">dvice prior to </w:t>
            </w:r>
            <w:r>
              <w:t xml:space="preserve">commencing </w:t>
            </w:r>
            <w:r w:rsidRPr="00F46A5F">
              <w:t>work to clarify information in job documentation.</w:t>
            </w:r>
          </w:p>
        </w:tc>
      </w:tr>
      <w:tr w:rsidR="0028210F" w:rsidRPr="00982853" w14:paraId="6A73790B" w14:textId="77777777" w:rsidTr="00352E7B">
        <w:tc>
          <w:tcPr>
            <w:tcW w:w="709" w:type="dxa"/>
          </w:tcPr>
          <w:p w14:paraId="45641325" w14:textId="77777777" w:rsidR="0028210F" w:rsidRPr="009F04FF" w:rsidRDefault="0028210F" w:rsidP="0082392E">
            <w:pPr>
              <w:pStyle w:val="Bodycopy"/>
            </w:pPr>
            <w:r>
              <w:t>3</w:t>
            </w:r>
          </w:p>
        </w:tc>
        <w:tc>
          <w:tcPr>
            <w:tcW w:w="1985" w:type="dxa"/>
          </w:tcPr>
          <w:p w14:paraId="2B3F581F" w14:textId="77777777" w:rsidR="0028210F" w:rsidRPr="005A3797" w:rsidRDefault="0028210F" w:rsidP="0082392E">
            <w:pPr>
              <w:pStyle w:val="Bodycopy"/>
            </w:pPr>
            <w:r w:rsidRPr="00B55946">
              <w:t xml:space="preserve">Prepare for </w:t>
            </w:r>
            <w:r>
              <w:t>Spotter</w:t>
            </w:r>
            <w:r w:rsidRPr="00B55946">
              <w:t xml:space="preserve"> duties</w:t>
            </w:r>
          </w:p>
        </w:tc>
        <w:tc>
          <w:tcPr>
            <w:tcW w:w="958" w:type="dxa"/>
          </w:tcPr>
          <w:p w14:paraId="38246365" w14:textId="77777777" w:rsidR="0028210F" w:rsidRPr="00B55946" w:rsidRDefault="0028210F" w:rsidP="0082392E">
            <w:pPr>
              <w:pStyle w:val="Bodycopy"/>
            </w:pPr>
            <w:r>
              <w:t>3.1</w:t>
            </w:r>
          </w:p>
        </w:tc>
        <w:tc>
          <w:tcPr>
            <w:tcW w:w="5562" w:type="dxa"/>
          </w:tcPr>
          <w:p w14:paraId="6705F421" w14:textId="77777777" w:rsidR="0028210F" w:rsidRPr="00B55946" w:rsidRDefault="0028210F" w:rsidP="0082392E">
            <w:pPr>
              <w:pStyle w:val="Bodycopy"/>
            </w:pPr>
            <w:r>
              <w:t>Establish and maintain c</w:t>
            </w:r>
            <w:r w:rsidRPr="00B55946">
              <w:t>ommunication with others involved with the work to ensure efficient workflow coordination, personnel cooperation and</w:t>
            </w:r>
            <w:r w:rsidRPr="00B55946">
              <w:rPr>
                <w:spacing w:val="-1"/>
              </w:rPr>
              <w:t xml:space="preserve"> </w:t>
            </w:r>
            <w:r w:rsidRPr="00B55946">
              <w:t>safety.</w:t>
            </w:r>
          </w:p>
        </w:tc>
      </w:tr>
      <w:tr w:rsidR="0028210F" w:rsidRPr="00982853" w14:paraId="4F9451C3" w14:textId="77777777" w:rsidTr="00352E7B">
        <w:tc>
          <w:tcPr>
            <w:tcW w:w="709" w:type="dxa"/>
          </w:tcPr>
          <w:p w14:paraId="6AF779C7" w14:textId="77777777" w:rsidR="0028210F" w:rsidRPr="009F04FF" w:rsidRDefault="0028210F" w:rsidP="0082392E">
            <w:pPr>
              <w:pStyle w:val="Bodycopy"/>
            </w:pPr>
          </w:p>
        </w:tc>
        <w:tc>
          <w:tcPr>
            <w:tcW w:w="1985" w:type="dxa"/>
          </w:tcPr>
          <w:p w14:paraId="3307BEE1" w14:textId="77777777" w:rsidR="0028210F" w:rsidRPr="005A3797" w:rsidRDefault="0028210F" w:rsidP="0082392E">
            <w:pPr>
              <w:pStyle w:val="Bodycopy"/>
            </w:pPr>
          </w:p>
        </w:tc>
        <w:tc>
          <w:tcPr>
            <w:tcW w:w="958" w:type="dxa"/>
          </w:tcPr>
          <w:p w14:paraId="4B3293AE" w14:textId="77777777" w:rsidR="0028210F" w:rsidRPr="00B55946" w:rsidRDefault="0028210F" w:rsidP="0082392E">
            <w:pPr>
              <w:pStyle w:val="Bodycopy"/>
            </w:pPr>
            <w:r>
              <w:t>3.2</w:t>
            </w:r>
          </w:p>
        </w:tc>
        <w:tc>
          <w:tcPr>
            <w:tcW w:w="5562" w:type="dxa"/>
          </w:tcPr>
          <w:p w14:paraId="6E586129" w14:textId="77777777" w:rsidR="0028210F" w:rsidRPr="00B55946" w:rsidRDefault="0028210F" w:rsidP="0082392E">
            <w:pPr>
              <w:pStyle w:val="Bodycopy"/>
            </w:pPr>
            <w:r>
              <w:t>Select a</w:t>
            </w:r>
            <w:r w:rsidRPr="00B55946">
              <w:t xml:space="preserve">ppropriate </w:t>
            </w:r>
            <w:r w:rsidRPr="00FD45FC">
              <w:rPr>
                <w:iCs/>
              </w:rPr>
              <w:t>personal protective equipment (PPE</w:t>
            </w:r>
            <w:r>
              <w:rPr>
                <w:iCs/>
              </w:rPr>
              <w:t>)</w:t>
            </w:r>
            <w:r>
              <w:t>, check for usability and fit</w:t>
            </w:r>
            <w:r w:rsidRPr="00B55946">
              <w:rPr>
                <w:spacing w:val="-8"/>
              </w:rPr>
              <w:t xml:space="preserve"> </w:t>
            </w:r>
            <w:r w:rsidRPr="00B55946">
              <w:t>correctly.</w:t>
            </w:r>
          </w:p>
        </w:tc>
      </w:tr>
      <w:tr w:rsidR="0028210F" w:rsidRPr="00982853" w14:paraId="674F0010" w14:textId="77777777" w:rsidTr="00352E7B">
        <w:tc>
          <w:tcPr>
            <w:tcW w:w="709" w:type="dxa"/>
          </w:tcPr>
          <w:p w14:paraId="08118707" w14:textId="77777777" w:rsidR="0028210F" w:rsidRPr="009F04FF" w:rsidRDefault="0028210F" w:rsidP="0082392E">
            <w:pPr>
              <w:pStyle w:val="Bodycopy"/>
            </w:pPr>
          </w:p>
        </w:tc>
        <w:tc>
          <w:tcPr>
            <w:tcW w:w="1985" w:type="dxa"/>
          </w:tcPr>
          <w:p w14:paraId="2375BB36" w14:textId="77777777" w:rsidR="0028210F" w:rsidRPr="005A3797" w:rsidRDefault="0028210F" w:rsidP="0082392E">
            <w:pPr>
              <w:pStyle w:val="Bodycopy"/>
            </w:pPr>
          </w:p>
        </w:tc>
        <w:tc>
          <w:tcPr>
            <w:tcW w:w="958" w:type="dxa"/>
          </w:tcPr>
          <w:p w14:paraId="769BCBC6" w14:textId="77777777" w:rsidR="0028210F" w:rsidRPr="00B55946" w:rsidRDefault="0028210F" w:rsidP="0082392E">
            <w:pPr>
              <w:pStyle w:val="Bodycopy"/>
            </w:pPr>
            <w:r>
              <w:t>3.3</w:t>
            </w:r>
          </w:p>
        </w:tc>
        <w:tc>
          <w:tcPr>
            <w:tcW w:w="5562" w:type="dxa"/>
          </w:tcPr>
          <w:p w14:paraId="51E55DDE" w14:textId="77777777" w:rsidR="0028210F" w:rsidRPr="00B55946" w:rsidRDefault="0028210F" w:rsidP="0082392E">
            <w:pPr>
              <w:pStyle w:val="Bodycopy"/>
            </w:pPr>
            <w:r w:rsidRPr="00260C09">
              <w:rPr>
                <w:iCs/>
              </w:rPr>
              <w:t>Select communication equipment</w:t>
            </w:r>
            <w:r w:rsidRPr="00260C09">
              <w:t>,</w:t>
            </w:r>
            <w:r>
              <w:t xml:space="preserve"> check</w:t>
            </w:r>
            <w:r w:rsidRPr="00B55946">
              <w:t xml:space="preserve"> for serviceability and </w:t>
            </w:r>
            <w:r>
              <w:t xml:space="preserve">report </w:t>
            </w:r>
            <w:r w:rsidRPr="00B55946">
              <w:t>any faults to</w:t>
            </w:r>
            <w:r w:rsidRPr="00B55946">
              <w:rPr>
                <w:spacing w:val="-5"/>
              </w:rPr>
              <w:t xml:space="preserve"> </w:t>
            </w:r>
            <w:r w:rsidRPr="00B55946">
              <w:t>supervisor.</w:t>
            </w:r>
          </w:p>
        </w:tc>
      </w:tr>
      <w:tr w:rsidR="0028210F" w:rsidRPr="00982853" w14:paraId="4A63C90A" w14:textId="77777777" w:rsidTr="00352E7B">
        <w:tc>
          <w:tcPr>
            <w:tcW w:w="709" w:type="dxa"/>
          </w:tcPr>
          <w:p w14:paraId="5CC24DA9" w14:textId="77777777" w:rsidR="0028210F" w:rsidRPr="009F04FF" w:rsidRDefault="0028210F" w:rsidP="0082392E">
            <w:pPr>
              <w:pStyle w:val="Bodycopy"/>
            </w:pPr>
          </w:p>
        </w:tc>
        <w:tc>
          <w:tcPr>
            <w:tcW w:w="1985" w:type="dxa"/>
          </w:tcPr>
          <w:p w14:paraId="252A4328" w14:textId="77777777" w:rsidR="0028210F" w:rsidRPr="005A3797" w:rsidRDefault="0028210F" w:rsidP="0082392E">
            <w:pPr>
              <w:pStyle w:val="Bodycopy"/>
            </w:pPr>
          </w:p>
        </w:tc>
        <w:tc>
          <w:tcPr>
            <w:tcW w:w="958" w:type="dxa"/>
          </w:tcPr>
          <w:p w14:paraId="615F2B8C" w14:textId="77777777" w:rsidR="0028210F" w:rsidRPr="00B55946" w:rsidRDefault="0028210F" w:rsidP="0082392E">
            <w:pPr>
              <w:pStyle w:val="Bodycopy"/>
            </w:pPr>
            <w:r>
              <w:t>3.4</w:t>
            </w:r>
          </w:p>
        </w:tc>
        <w:tc>
          <w:tcPr>
            <w:tcW w:w="5562" w:type="dxa"/>
          </w:tcPr>
          <w:p w14:paraId="1B1687C8" w14:textId="77777777" w:rsidR="0028210F" w:rsidRPr="00B55946" w:rsidRDefault="0028210F" w:rsidP="0082392E">
            <w:pPr>
              <w:pStyle w:val="Bodycopy"/>
            </w:pPr>
            <w:r>
              <w:t>Locate p</w:t>
            </w:r>
            <w:r w:rsidRPr="00B55946">
              <w:t>lant and equipment to be observed in accordance</w:t>
            </w:r>
            <w:r w:rsidRPr="00B55946">
              <w:rPr>
                <w:spacing w:val="-28"/>
              </w:rPr>
              <w:t xml:space="preserve"> </w:t>
            </w:r>
            <w:r w:rsidRPr="00B55946">
              <w:t>with job</w:t>
            </w:r>
            <w:r w:rsidRPr="00B55946">
              <w:rPr>
                <w:spacing w:val="-1"/>
              </w:rPr>
              <w:t xml:space="preserve"> </w:t>
            </w:r>
            <w:r w:rsidRPr="00B55946">
              <w:t>documentation.</w:t>
            </w:r>
          </w:p>
        </w:tc>
      </w:tr>
      <w:tr w:rsidR="0028210F" w:rsidRPr="00982853" w14:paraId="28BDEE1F" w14:textId="77777777" w:rsidTr="00352E7B">
        <w:tc>
          <w:tcPr>
            <w:tcW w:w="709" w:type="dxa"/>
          </w:tcPr>
          <w:p w14:paraId="7124661D" w14:textId="77777777" w:rsidR="0028210F" w:rsidRPr="009F04FF" w:rsidRDefault="0028210F" w:rsidP="0082392E">
            <w:pPr>
              <w:pStyle w:val="Bodycopy"/>
            </w:pPr>
          </w:p>
        </w:tc>
        <w:tc>
          <w:tcPr>
            <w:tcW w:w="1985" w:type="dxa"/>
          </w:tcPr>
          <w:p w14:paraId="1C6E4C71" w14:textId="77777777" w:rsidR="0028210F" w:rsidRPr="005A3797" w:rsidRDefault="0028210F" w:rsidP="0082392E">
            <w:pPr>
              <w:pStyle w:val="Bodycopy"/>
            </w:pPr>
          </w:p>
        </w:tc>
        <w:tc>
          <w:tcPr>
            <w:tcW w:w="958" w:type="dxa"/>
          </w:tcPr>
          <w:p w14:paraId="4E773FBA" w14:textId="77777777" w:rsidR="0028210F" w:rsidRPr="00B55946" w:rsidRDefault="0028210F" w:rsidP="0082392E">
            <w:pPr>
              <w:pStyle w:val="Bodycopy"/>
            </w:pPr>
            <w:r>
              <w:t>3.5</w:t>
            </w:r>
          </w:p>
        </w:tc>
        <w:tc>
          <w:tcPr>
            <w:tcW w:w="5562" w:type="dxa"/>
          </w:tcPr>
          <w:p w14:paraId="4FD490A5" w14:textId="77777777" w:rsidR="0028210F" w:rsidRPr="00B55946" w:rsidRDefault="0028210F" w:rsidP="0082392E">
            <w:pPr>
              <w:pStyle w:val="Bodycopy"/>
            </w:pPr>
            <w:r w:rsidRPr="0048514E">
              <w:t>Confirm location of service assets on job documentation</w:t>
            </w:r>
            <w:r>
              <w:t xml:space="preserve"> and mark if required</w:t>
            </w:r>
          </w:p>
        </w:tc>
      </w:tr>
      <w:tr w:rsidR="0028210F" w:rsidRPr="00982853" w14:paraId="297EC640" w14:textId="77777777" w:rsidTr="00352E7B">
        <w:tc>
          <w:tcPr>
            <w:tcW w:w="709" w:type="dxa"/>
          </w:tcPr>
          <w:p w14:paraId="1964EF7C" w14:textId="77777777" w:rsidR="0028210F" w:rsidRPr="009F04FF" w:rsidRDefault="0028210F" w:rsidP="0082392E">
            <w:pPr>
              <w:pStyle w:val="Bodycopy"/>
            </w:pPr>
          </w:p>
        </w:tc>
        <w:tc>
          <w:tcPr>
            <w:tcW w:w="1985" w:type="dxa"/>
          </w:tcPr>
          <w:p w14:paraId="504421D1" w14:textId="77777777" w:rsidR="0028210F" w:rsidRPr="005A3797" w:rsidRDefault="0028210F" w:rsidP="0082392E">
            <w:pPr>
              <w:pStyle w:val="Bodycopy"/>
            </w:pPr>
          </w:p>
        </w:tc>
        <w:tc>
          <w:tcPr>
            <w:tcW w:w="958" w:type="dxa"/>
          </w:tcPr>
          <w:p w14:paraId="60D22A7D" w14:textId="77777777" w:rsidR="0028210F" w:rsidRPr="00B55946" w:rsidRDefault="0028210F" w:rsidP="0082392E">
            <w:pPr>
              <w:pStyle w:val="Bodycopy"/>
            </w:pPr>
            <w:r>
              <w:t>3.6</w:t>
            </w:r>
          </w:p>
        </w:tc>
        <w:tc>
          <w:tcPr>
            <w:tcW w:w="5562" w:type="dxa"/>
          </w:tcPr>
          <w:p w14:paraId="79B4D5E6" w14:textId="77777777" w:rsidR="0028210F" w:rsidRPr="00B55946" w:rsidRDefault="0028210F" w:rsidP="0082392E">
            <w:pPr>
              <w:pStyle w:val="Bodycopy"/>
            </w:pPr>
            <w:r w:rsidRPr="009D0022">
              <w:t>Assess environment and site conditions and report safety concerns to supervisor</w:t>
            </w:r>
          </w:p>
        </w:tc>
      </w:tr>
      <w:tr w:rsidR="0028210F" w:rsidRPr="00982853" w14:paraId="06B75E80" w14:textId="77777777" w:rsidTr="00352E7B">
        <w:tc>
          <w:tcPr>
            <w:tcW w:w="709" w:type="dxa"/>
          </w:tcPr>
          <w:p w14:paraId="7F885C17" w14:textId="77777777" w:rsidR="0028210F" w:rsidRPr="009F04FF" w:rsidRDefault="0028210F" w:rsidP="0082392E">
            <w:pPr>
              <w:pStyle w:val="Bodycopy"/>
            </w:pPr>
          </w:p>
        </w:tc>
        <w:tc>
          <w:tcPr>
            <w:tcW w:w="1985" w:type="dxa"/>
          </w:tcPr>
          <w:p w14:paraId="2D41CC34" w14:textId="77777777" w:rsidR="0028210F" w:rsidRPr="005A3797" w:rsidRDefault="0028210F" w:rsidP="0082392E">
            <w:pPr>
              <w:pStyle w:val="Bodycopy"/>
            </w:pPr>
          </w:p>
        </w:tc>
        <w:tc>
          <w:tcPr>
            <w:tcW w:w="958" w:type="dxa"/>
          </w:tcPr>
          <w:p w14:paraId="5043A575" w14:textId="77777777" w:rsidR="0028210F" w:rsidRPr="00B55946" w:rsidRDefault="0028210F" w:rsidP="0082392E">
            <w:pPr>
              <w:pStyle w:val="Bodycopy"/>
            </w:pPr>
            <w:r>
              <w:t>3.7</w:t>
            </w:r>
          </w:p>
        </w:tc>
        <w:tc>
          <w:tcPr>
            <w:tcW w:w="5562" w:type="dxa"/>
          </w:tcPr>
          <w:p w14:paraId="4E2F46AE" w14:textId="77777777" w:rsidR="0028210F" w:rsidRPr="00B55946" w:rsidRDefault="0028210F" w:rsidP="0082392E">
            <w:pPr>
              <w:pStyle w:val="Bodycopy"/>
            </w:pPr>
            <w:r w:rsidRPr="009D0022">
              <w:t>Locate first aid and emergency equipment, procedures and contact numbers according to site/company procedures</w:t>
            </w:r>
          </w:p>
        </w:tc>
      </w:tr>
      <w:tr w:rsidR="0028210F" w:rsidRPr="00982853" w14:paraId="6E34918D" w14:textId="77777777" w:rsidTr="00352E7B">
        <w:tc>
          <w:tcPr>
            <w:tcW w:w="709" w:type="dxa"/>
          </w:tcPr>
          <w:p w14:paraId="43B10D72" w14:textId="77777777" w:rsidR="0028210F" w:rsidRPr="009F04FF" w:rsidRDefault="0028210F" w:rsidP="0082392E">
            <w:pPr>
              <w:pStyle w:val="Bodycopy"/>
            </w:pPr>
          </w:p>
        </w:tc>
        <w:tc>
          <w:tcPr>
            <w:tcW w:w="1985" w:type="dxa"/>
          </w:tcPr>
          <w:p w14:paraId="7A5DAA0C" w14:textId="77777777" w:rsidR="0028210F" w:rsidRPr="005A3797" w:rsidRDefault="0028210F" w:rsidP="0082392E">
            <w:pPr>
              <w:pStyle w:val="Bodycopy"/>
            </w:pPr>
          </w:p>
        </w:tc>
        <w:tc>
          <w:tcPr>
            <w:tcW w:w="958" w:type="dxa"/>
          </w:tcPr>
          <w:p w14:paraId="7651942E" w14:textId="77777777" w:rsidR="0028210F" w:rsidRDefault="0028210F" w:rsidP="0082392E">
            <w:pPr>
              <w:pStyle w:val="Bodycopy"/>
            </w:pPr>
            <w:r>
              <w:t>3.8</w:t>
            </w:r>
          </w:p>
        </w:tc>
        <w:tc>
          <w:tcPr>
            <w:tcW w:w="5562" w:type="dxa"/>
          </w:tcPr>
          <w:p w14:paraId="32AE9270" w14:textId="77777777" w:rsidR="0028210F" w:rsidRPr="005B7712" w:rsidRDefault="0028210F" w:rsidP="0082392E">
            <w:pPr>
              <w:pStyle w:val="Bodycopy"/>
            </w:pPr>
            <w:r w:rsidRPr="009D0022">
              <w:t>Identify the industry standards governing the limits of approach of equipment to overhead and underground assets to determine when No Go Zones Framework / Deemed to Comply provisions will be infringed</w:t>
            </w:r>
          </w:p>
        </w:tc>
      </w:tr>
      <w:tr w:rsidR="0028210F" w:rsidRPr="00982853" w14:paraId="42A5C5F6" w14:textId="77777777" w:rsidTr="00352E7B">
        <w:tc>
          <w:tcPr>
            <w:tcW w:w="709" w:type="dxa"/>
          </w:tcPr>
          <w:p w14:paraId="71C0B745" w14:textId="77777777" w:rsidR="0028210F" w:rsidRPr="009F04FF" w:rsidRDefault="0028210F" w:rsidP="0082392E">
            <w:pPr>
              <w:pStyle w:val="Bodycopy"/>
            </w:pPr>
          </w:p>
        </w:tc>
        <w:tc>
          <w:tcPr>
            <w:tcW w:w="1985" w:type="dxa"/>
          </w:tcPr>
          <w:p w14:paraId="0943C562" w14:textId="77777777" w:rsidR="0028210F" w:rsidRPr="005A3797" w:rsidRDefault="0028210F" w:rsidP="0082392E">
            <w:pPr>
              <w:pStyle w:val="Bodycopy"/>
            </w:pPr>
          </w:p>
        </w:tc>
        <w:tc>
          <w:tcPr>
            <w:tcW w:w="958" w:type="dxa"/>
          </w:tcPr>
          <w:p w14:paraId="07F80910" w14:textId="77777777" w:rsidR="0028210F" w:rsidRDefault="0028210F" w:rsidP="0082392E">
            <w:pPr>
              <w:pStyle w:val="Bodycopy"/>
            </w:pPr>
            <w:r>
              <w:t>3.9</w:t>
            </w:r>
          </w:p>
        </w:tc>
        <w:tc>
          <w:tcPr>
            <w:tcW w:w="5562" w:type="dxa"/>
          </w:tcPr>
          <w:p w14:paraId="518050BA" w14:textId="77777777" w:rsidR="0028210F" w:rsidRPr="005B7712" w:rsidRDefault="0028210F" w:rsidP="0082392E">
            <w:pPr>
              <w:pStyle w:val="Bodycopy"/>
            </w:pPr>
            <w:r>
              <w:t>P</w:t>
            </w:r>
            <w:r w:rsidRPr="009D0022">
              <w:t>articipate in the re</w:t>
            </w:r>
            <w:r>
              <w:t>view</w:t>
            </w:r>
            <w:r w:rsidRPr="009D0022">
              <w:t xml:space="preserve"> of job site safety and risk documentation to ensure compliance with site conditions</w:t>
            </w:r>
          </w:p>
        </w:tc>
      </w:tr>
      <w:tr w:rsidR="0028210F" w:rsidRPr="00982853" w14:paraId="4B04EB8E" w14:textId="77777777" w:rsidTr="00352E7B">
        <w:tc>
          <w:tcPr>
            <w:tcW w:w="709" w:type="dxa"/>
          </w:tcPr>
          <w:p w14:paraId="6CA858C3" w14:textId="77777777" w:rsidR="0028210F" w:rsidRPr="009F04FF" w:rsidRDefault="0028210F" w:rsidP="0082392E">
            <w:pPr>
              <w:pStyle w:val="Bodycopy"/>
            </w:pPr>
            <w:r>
              <w:t>4</w:t>
            </w:r>
          </w:p>
        </w:tc>
        <w:tc>
          <w:tcPr>
            <w:tcW w:w="1985" w:type="dxa"/>
          </w:tcPr>
          <w:p w14:paraId="11622E59" w14:textId="77777777" w:rsidR="0028210F" w:rsidRPr="005A3797" w:rsidRDefault="0028210F" w:rsidP="0082392E">
            <w:pPr>
              <w:pStyle w:val="Bodycopy"/>
            </w:pPr>
            <w:r>
              <w:t>Perform Spotter duties</w:t>
            </w:r>
          </w:p>
        </w:tc>
        <w:tc>
          <w:tcPr>
            <w:tcW w:w="958" w:type="dxa"/>
          </w:tcPr>
          <w:p w14:paraId="7E98C965" w14:textId="77777777" w:rsidR="0028210F" w:rsidRPr="00B55946" w:rsidRDefault="0028210F" w:rsidP="0082392E">
            <w:pPr>
              <w:pStyle w:val="Bodycopy"/>
            </w:pPr>
            <w:r>
              <w:t>4.1</w:t>
            </w:r>
          </w:p>
        </w:tc>
        <w:tc>
          <w:tcPr>
            <w:tcW w:w="5562" w:type="dxa"/>
          </w:tcPr>
          <w:p w14:paraId="46732951" w14:textId="77777777" w:rsidR="0028210F" w:rsidRPr="00B55946" w:rsidRDefault="0028210F" w:rsidP="0082392E">
            <w:pPr>
              <w:pStyle w:val="Bodycopy"/>
            </w:pPr>
            <w:r>
              <w:t>Follow r</w:t>
            </w:r>
            <w:r w:rsidRPr="00B55946">
              <w:t>elevant Occupational Health and Safety (OHS)/Work Health</w:t>
            </w:r>
            <w:r w:rsidRPr="00B55946">
              <w:rPr>
                <w:spacing w:val="-22"/>
              </w:rPr>
              <w:t xml:space="preserve"> </w:t>
            </w:r>
            <w:r w:rsidRPr="00B55946">
              <w:t xml:space="preserve">and Safety (WHS), Electrical Safety legislative and organisational requirements when performing </w:t>
            </w:r>
            <w:r>
              <w:t>Spotter</w:t>
            </w:r>
            <w:r w:rsidRPr="00B55946">
              <w:rPr>
                <w:spacing w:val="-4"/>
              </w:rPr>
              <w:t xml:space="preserve"> </w:t>
            </w:r>
            <w:r w:rsidRPr="00B55946">
              <w:t>duties.</w:t>
            </w:r>
          </w:p>
        </w:tc>
      </w:tr>
      <w:tr w:rsidR="0028210F" w:rsidRPr="00982853" w14:paraId="06CBC65C" w14:textId="77777777" w:rsidTr="00352E7B">
        <w:tc>
          <w:tcPr>
            <w:tcW w:w="709" w:type="dxa"/>
          </w:tcPr>
          <w:p w14:paraId="16CD8C57" w14:textId="77777777" w:rsidR="0028210F" w:rsidRPr="009F04FF" w:rsidRDefault="0028210F" w:rsidP="0082392E">
            <w:pPr>
              <w:pStyle w:val="Bodycopy"/>
            </w:pPr>
          </w:p>
        </w:tc>
        <w:tc>
          <w:tcPr>
            <w:tcW w:w="1985" w:type="dxa"/>
          </w:tcPr>
          <w:p w14:paraId="668DB2B4" w14:textId="77777777" w:rsidR="0028210F" w:rsidRPr="005A3797" w:rsidRDefault="0028210F" w:rsidP="0082392E">
            <w:pPr>
              <w:pStyle w:val="Bodycopy"/>
            </w:pPr>
          </w:p>
        </w:tc>
        <w:tc>
          <w:tcPr>
            <w:tcW w:w="958" w:type="dxa"/>
          </w:tcPr>
          <w:p w14:paraId="650DA012" w14:textId="77777777" w:rsidR="0028210F" w:rsidRPr="00B55946" w:rsidRDefault="0028210F" w:rsidP="0082392E">
            <w:pPr>
              <w:pStyle w:val="Bodycopy"/>
            </w:pPr>
            <w:r>
              <w:t>4.2</w:t>
            </w:r>
          </w:p>
        </w:tc>
        <w:tc>
          <w:tcPr>
            <w:tcW w:w="5562" w:type="dxa"/>
          </w:tcPr>
          <w:p w14:paraId="56C2B5F8" w14:textId="77777777" w:rsidR="0028210F" w:rsidRPr="00B55946" w:rsidRDefault="0028210F" w:rsidP="0082392E">
            <w:pPr>
              <w:pStyle w:val="Bodycopy"/>
            </w:pPr>
            <w:r w:rsidRPr="009D0022">
              <w:t>Use measuring equipment and techniques to calculate distances and heights according to industry recognised standards of accuracy</w:t>
            </w:r>
          </w:p>
        </w:tc>
      </w:tr>
      <w:tr w:rsidR="0028210F" w:rsidRPr="00982853" w14:paraId="35A9C1A4" w14:textId="77777777" w:rsidTr="00352E7B">
        <w:tc>
          <w:tcPr>
            <w:tcW w:w="709" w:type="dxa"/>
          </w:tcPr>
          <w:p w14:paraId="5285740A" w14:textId="77777777" w:rsidR="0028210F" w:rsidRPr="009F04FF" w:rsidRDefault="0028210F" w:rsidP="0082392E">
            <w:pPr>
              <w:pStyle w:val="Bodycopy"/>
            </w:pPr>
          </w:p>
        </w:tc>
        <w:tc>
          <w:tcPr>
            <w:tcW w:w="1985" w:type="dxa"/>
          </w:tcPr>
          <w:p w14:paraId="64C17B72" w14:textId="77777777" w:rsidR="0028210F" w:rsidRPr="005A3797" w:rsidRDefault="0028210F" w:rsidP="0082392E">
            <w:pPr>
              <w:pStyle w:val="Bodycopy"/>
            </w:pPr>
          </w:p>
        </w:tc>
        <w:tc>
          <w:tcPr>
            <w:tcW w:w="958" w:type="dxa"/>
          </w:tcPr>
          <w:p w14:paraId="6DA9C01E" w14:textId="77777777" w:rsidR="0028210F" w:rsidRPr="00B55946" w:rsidRDefault="0028210F" w:rsidP="0082392E">
            <w:pPr>
              <w:pStyle w:val="Bodycopy"/>
            </w:pPr>
            <w:r>
              <w:t>4.3</w:t>
            </w:r>
          </w:p>
        </w:tc>
        <w:tc>
          <w:tcPr>
            <w:tcW w:w="5562" w:type="dxa"/>
          </w:tcPr>
          <w:p w14:paraId="243C3AD5" w14:textId="77777777" w:rsidR="0028210F" w:rsidRPr="00B55946" w:rsidRDefault="0028210F" w:rsidP="0082392E">
            <w:pPr>
              <w:pStyle w:val="Bodycopy"/>
            </w:pPr>
            <w:r>
              <w:t>Observe p</w:t>
            </w:r>
            <w:r w:rsidRPr="00B55946">
              <w:t>lant and equipment with regular consideration of site contingencies including sag and sway of overhead assets and depths of underground</w:t>
            </w:r>
            <w:r w:rsidRPr="00B55946">
              <w:rPr>
                <w:spacing w:val="-4"/>
              </w:rPr>
              <w:t xml:space="preserve"> </w:t>
            </w:r>
            <w:r>
              <w:t>assets</w:t>
            </w:r>
          </w:p>
        </w:tc>
      </w:tr>
      <w:tr w:rsidR="0028210F" w:rsidRPr="00982853" w14:paraId="52AA0ECB" w14:textId="77777777" w:rsidTr="00352E7B">
        <w:tc>
          <w:tcPr>
            <w:tcW w:w="709" w:type="dxa"/>
          </w:tcPr>
          <w:p w14:paraId="4C767643" w14:textId="77777777" w:rsidR="0028210F" w:rsidRPr="009F04FF" w:rsidRDefault="0028210F" w:rsidP="0082392E">
            <w:pPr>
              <w:pStyle w:val="Bodycopy"/>
            </w:pPr>
          </w:p>
        </w:tc>
        <w:tc>
          <w:tcPr>
            <w:tcW w:w="1985" w:type="dxa"/>
          </w:tcPr>
          <w:p w14:paraId="77A3BF54" w14:textId="77777777" w:rsidR="0028210F" w:rsidRPr="005A3797" w:rsidRDefault="0028210F" w:rsidP="0082392E">
            <w:pPr>
              <w:pStyle w:val="Bodycopy"/>
            </w:pPr>
          </w:p>
        </w:tc>
        <w:tc>
          <w:tcPr>
            <w:tcW w:w="958" w:type="dxa"/>
          </w:tcPr>
          <w:p w14:paraId="5FEFF54C" w14:textId="77777777" w:rsidR="0028210F" w:rsidRPr="00B55946" w:rsidRDefault="0028210F" w:rsidP="0082392E">
            <w:pPr>
              <w:pStyle w:val="Bodycopy"/>
            </w:pPr>
            <w:r>
              <w:t>4.4</w:t>
            </w:r>
          </w:p>
        </w:tc>
        <w:tc>
          <w:tcPr>
            <w:tcW w:w="5562" w:type="dxa"/>
          </w:tcPr>
          <w:p w14:paraId="13A24126" w14:textId="77777777" w:rsidR="0028210F" w:rsidRPr="00B55946" w:rsidRDefault="0028210F" w:rsidP="0082392E">
            <w:pPr>
              <w:pStyle w:val="Bodycopy"/>
            </w:pPr>
            <w:r w:rsidRPr="009D0022">
              <w:t>Use communication equipment according to manufacturer’s instructions, and company guidelines and procedures</w:t>
            </w:r>
          </w:p>
        </w:tc>
      </w:tr>
      <w:tr w:rsidR="0028210F" w:rsidRPr="00982853" w14:paraId="4E129709" w14:textId="77777777" w:rsidTr="00352E7B">
        <w:tc>
          <w:tcPr>
            <w:tcW w:w="709" w:type="dxa"/>
          </w:tcPr>
          <w:p w14:paraId="6106603B" w14:textId="77777777" w:rsidR="0028210F" w:rsidRPr="009F04FF" w:rsidRDefault="0028210F" w:rsidP="0082392E">
            <w:pPr>
              <w:pStyle w:val="Bodycopy"/>
            </w:pPr>
          </w:p>
        </w:tc>
        <w:tc>
          <w:tcPr>
            <w:tcW w:w="1985" w:type="dxa"/>
          </w:tcPr>
          <w:p w14:paraId="4CA69325" w14:textId="77777777" w:rsidR="0028210F" w:rsidRPr="005A3797" w:rsidRDefault="0028210F" w:rsidP="0082392E">
            <w:pPr>
              <w:pStyle w:val="Bodycopy"/>
            </w:pPr>
          </w:p>
        </w:tc>
        <w:tc>
          <w:tcPr>
            <w:tcW w:w="958" w:type="dxa"/>
          </w:tcPr>
          <w:p w14:paraId="2D67D8DF" w14:textId="77777777" w:rsidR="0028210F" w:rsidRPr="00B55946" w:rsidRDefault="0028210F" w:rsidP="0082392E">
            <w:pPr>
              <w:pStyle w:val="Bodycopy"/>
            </w:pPr>
            <w:r>
              <w:t>4.5</w:t>
            </w:r>
          </w:p>
        </w:tc>
        <w:tc>
          <w:tcPr>
            <w:tcW w:w="5562" w:type="dxa"/>
          </w:tcPr>
          <w:p w14:paraId="03F7A21B" w14:textId="77777777" w:rsidR="0028210F" w:rsidRPr="00B55946" w:rsidRDefault="0028210F" w:rsidP="0082392E">
            <w:pPr>
              <w:pStyle w:val="Bodycopy"/>
            </w:pPr>
            <w:r w:rsidRPr="009D0022">
              <w:t>Use communication signalling methods according to recognised standards or agreed protocols</w:t>
            </w:r>
          </w:p>
        </w:tc>
      </w:tr>
      <w:tr w:rsidR="0028210F" w:rsidRPr="00982853" w14:paraId="09C7A266" w14:textId="77777777" w:rsidTr="00352E7B">
        <w:tc>
          <w:tcPr>
            <w:tcW w:w="709" w:type="dxa"/>
          </w:tcPr>
          <w:p w14:paraId="3A391B12" w14:textId="77777777" w:rsidR="0028210F" w:rsidRPr="009F04FF" w:rsidRDefault="0028210F" w:rsidP="0082392E">
            <w:pPr>
              <w:pStyle w:val="Bodycopy"/>
            </w:pPr>
          </w:p>
        </w:tc>
        <w:tc>
          <w:tcPr>
            <w:tcW w:w="1985" w:type="dxa"/>
          </w:tcPr>
          <w:p w14:paraId="3BD06379" w14:textId="77777777" w:rsidR="0028210F" w:rsidRPr="005A3797" w:rsidRDefault="0028210F" w:rsidP="0082392E">
            <w:pPr>
              <w:pStyle w:val="Bodycopy"/>
            </w:pPr>
          </w:p>
        </w:tc>
        <w:tc>
          <w:tcPr>
            <w:tcW w:w="958" w:type="dxa"/>
          </w:tcPr>
          <w:p w14:paraId="4484DBF1" w14:textId="77777777" w:rsidR="0028210F" w:rsidRPr="00B55946" w:rsidRDefault="0028210F" w:rsidP="0082392E">
            <w:pPr>
              <w:pStyle w:val="Bodycopy"/>
            </w:pPr>
            <w:r>
              <w:t>4.6</w:t>
            </w:r>
          </w:p>
        </w:tc>
        <w:tc>
          <w:tcPr>
            <w:tcW w:w="5562" w:type="dxa"/>
          </w:tcPr>
          <w:p w14:paraId="37F6953A" w14:textId="77777777" w:rsidR="0028210F" w:rsidRPr="00B55946" w:rsidRDefault="0028210F" w:rsidP="0082392E">
            <w:pPr>
              <w:pStyle w:val="Bodycopy"/>
            </w:pPr>
            <w:r w:rsidRPr="0038154E">
              <w:t>Communicate the clearance distances to be applied to the work, with plan</w:t>
            </w:r>
            <w:r>
              <w:t>t</w:t>
            </w:r>
            <w:r w:rsidRPr="0038154E">
              <w:t xml:space="preserve"> operator and appropriate personnel</w:t>
            </w:r>
          </w:p>
        </w:tc>
      </w:tr>
      <w:tr w:rsidR="0028210F" w:rsidRPr="00982853" w14:paraId="24180699" w14:textId="77777777" w:rsidTr="00352E7B">
        <w:tc>
          <w:tcPr>
            <w:tcW w:w="709" w:type="dxa"/>
          </w:tcPr>
          <w:p w14:paraId="4AADCBBE" w14:textId="77777777" w:rsidR="0028210F" w:rsidRPr="009F04FF" w:rsidRDefault="0028210F" w:rsidP="0082392E">
            <w:pPr>
              <w:pStyle w:val="Bodycopy"/>
            </w:pPr>
          </w:p>
        </w:tc>
        <w:tc>
          <w:tcPr>
            <w:tcW w:w="1985" w:type="dxa"/>
          </w:tcPr>
          <w:p w14:paraId="086E03B4" w14:textId="77777777" w:rsidR="0028210F" w:rsidRPr="005A3797" w:rsidRDefault="0028210F" w:rsidP="0082392E">
            <w:pPr>
              <w:pStyle w:val="Bodycopy"/>
            </w:pPr>
          </w:p>
        </w:tc>
        <w:tc>
          <w:tcPr>
            <w:tcW w:w="958" w:type="dxa"/>
          </w:tcPr>
          <w:p w14:paraId="7F90D565" w14:textId="77777777" w:rsidR="0028210F" w:rsidRPr="00B55946" w:rsidRDefault="0028210F" w:rsidP="0082392E">
            <w:pPr>
              <w:pStyle w:val="Bodycopy"/>
            </w:pPr>
            <w:r>
              <w:t>4.7</w:t>
            </w:r>
          </w:p>
        </w:tc>
        <w:tc>
          <w:tcPr>
            <w:tcW w:w="5562" w:type="dxa"/>
          </w:tcPr>
          <w:p w14:paraId="72578F0E" w14:textId="77777777" w:rsidR="0028210F" w:rsidRPr="00B55946" w:rsidRDefault="0028210F" w:rsidP="0082392E">
            <w:pPr>
              <w:pStyle w:val="Bodycopy"/>
            </w:pPr>
            <w:r w:rsidRPr="00B55946">
              <w:t>Spot for the entry of plant and equipment into No Go Zones</w:t>
            </w:r>
            <w:r w:rsidRPr="00B55946">
              <w:rPr>
                <w:spacing w:val="-25"/>
              </w:rPr>
              <w:t xml:space="preserve"> </w:t>
            </w:r>
            <w:r w:rsidRPr="00B55946">
              <w:t>to industry standards to ensure safety of self and</w:t>
            </w:r>
            <w:r w:rsidRPr="00B55946">
              <w:rPr>
                <w:spacing w:val="-9"/>
              </w:rPr>
              <w:t xml:space="preserve"> </w:t>
            </w:r>
            <w:r>
              <w:t>others</w:t>
            </w:r>
          </w:p>
        </w:tc>
      </w:tr>
      <w:tr w:rsidR="0028210F" w:rsidRPr="00982853" w14:paraId="1D36A7FF" w14:textId="77777777" w:rsidTr="00352E7B">
        <w:tc>
          <w:tcPr>
            <w:tcW w:w="709" w:type="dxa"/>
          </w:tcPr>
          <w:p w14:paraId="48C1CE75" w14:textId="77777777" w:rsidR="0028210F" w:rsidRPr="009F04FF" w:rsidRDefault="0028210F" w:rsidP="0082392E">
            <w:pPr>
              <w:pStyle w:val="Bodycopy"/>
            </w:pPr>
          </w:p>
        </w:tc>
        <w:tc>
          <w:tcPr>
            <w:tcW w:w="1985" w:type="dxa"/>
          </w:tcPr>
          <w:p w14:paraId="4E1A4528" w14:textId="77777777" w:rsidR="0028210F" w:rsidRPr="005A3797" w:rsidRDefault="0028210F" w:rsidP="0082392E">
            <w:pPr>
              <w:pStyle w:val="Bodycopy"/>
            </w:pPr>
          </w:p>
        </w:tc>
        <w:tc>
          <w:tcPr>
            <w:tcW w:w="958" w:type="dxa"/>
          </w:tcPr>
          <w:p w14:paraId="60DBE386" w14:textId="77777777" w:rsidR="0028210F" w:rsidRPr="00B55946" w:rsidRDefault="0028210F" w:rsidP="0082392E">
            <w:pPr>
              <w:pStyle w:val="Bodycopy"/>
            </w:pPr>
            <w:r>
              <w:t>4.8</w:t>
            </w:r>
          </w:p>
        </w:tc>
        <w:tc>
          <w:tcPr>
            <w:tcW w:w="5562" w:type="dxa"/>
          </w:tcPr>
          <w:p w14:paraId="6EB47D45" w14:textId="77777777" w:rsidR="0028210F" w:rsidRPr="00B55946" w:rsidRDefault="0028210F" w:rsidP="0082392E">
            <w:pPr>
              <w:pStyle w:val="Bodycopy"/>
            </w:pPr>
            <w:r>
              <w:t>Implement e</w:t>
            </w:r>
            <w:r w:rsidRPr="00B55946">
              <w:t>mergency procedures in the event of an incident where plant or equipment makes contact with an electrical conductor or other service</w:t>
            </w:r>
            <w:r w:rsidRPr="00B55946">
              <w:rPr>
                <w:spacing w:val="-5"/>
              </w:rPr>
              <w:t xml:space="preserve"> </w:t>
            </w:r>
            <w:r>
              <w:t>asset</w:t>
            </w:r>
          </w:p>
        </w:tc>
      </w:tr>
      <w:tr w:rsidR="0028210F" w:rsidRPr="00982853" w14:paraId="375BAA70" w14:textId="77777777" w:rsidTr="00352E7B">
        <w:tc>
          <w:tcPr>
            <w:tcW w:w="709" w:type="dxa"/>
          </w:tcPr>
          <w:p w14:paraId="54D792B7" w14:textId="77777777" w:rsidR="0028210F" w:rsidRPr="009F04FF" w:rsidRDefault="0028210F" w:rsidP="0082392E">
            <w:pPr>
              <w:pStyle w:val="Bodycopy"/>
            </w:pPr>
          </w:p>
        </w:tc>
        <w:tc>
          <w:tcPr>
            <w:tcW w:w="1985" w:type="dxa"/>
          </w:tcPr>
          <w:p w14:paraId="6D244F58" w14:textId="77777777" w:rsidR="0028210F" w:rsidRPr="005A3797" w:rsidRDefault="0028210F" w:rsidP="0082392E">
            <w:pPr>
              <w:pStyle w:val="Bodycopy"/>
            </w:pPr>
          </w:p>
        </w:tc>
        <w:tc>
          <w:tcPr>
            <w:tcW w:w="958" w:type="dxa"/>
          </w:tcPr>
          <w:p w14:paraId="2504CD25" w14:textId="77777777" w:rsidR="0028210F" w:rsidRDefault="0028210F" w:rsidP="0082392E">
            <w:pPr>
              <w:pStyle w:val="Bodycopy"/>
            </w:pPr>
            <w:r>
              <w:t>4.9</w:t>
            </w:r>
          </w:p>
        </w:tc>
        <w:tc>
          <w:tcPr>
            <w:tcW w:w="5562" w:type="dxa"/>
          </w:tcPr>
          <w:p w14:paraId="443EC6C1" w14:textId="77777777" w:rsidR="0028210F" w:rsidRDefault="0028210F" w:rsidP="0082392E">
            <w:pPr>
              <w:pStyle w:val="Bodycopy"/>
            </w:pPr>
            <w:r w:rsidRPr="00EC49EF">
              <w:t>Apply first aid in the event a plant or equipment operator or other worker is injured</w:t>
            </w:r>
          </w:p>
        </w:tc>
      </w:tr>
      <w:tr w:rsidR="0028210F" w:rsidRPr="00982853" w14:paraId="4E858CC7" w14:textId="77777777" w:rsidTr="00352E7B">
        <w:tc>
          <w:tcPr>
            <w:tcW w:w="709" w:type="dxa"/>
          </w:tcPr>
          <w:p w14:paraId="52A659BC" w14:textId="77777777" w:rsidR="0028210F" w:rsidRPr="00B55946" w:rsidRDefault="0028210F" w:rsidP="0082392E">
            <w:pPr>
              <w:pStyle w:val="Bodycopy"/>
            </w:pPr>
            <w:r>
              <w:t>5</w:t>
            </w:r>
          </w:p>
        </w:tc>
        <w:tc>
          <w:tcPr>
            <w:tcW w:w="1985" w:type="dxa"/>
          </w:tcPr>
          <w:p w14:paraId="52CD7356" w14:textId="77777777" w:rsidR="0028210F" w:rsidRPr="00B55946" w:rsidRDefault="0028210F" w:rsidP="0082392E">
            <w:pPr>
              <w:pStyle w:val="Bodycopy"/>
            </w:pPr>
            <w:r w:rsidRPr="00B55946">
              <w:t xml:space="preserve">Complete and review </w:t>
            </w:r>
            <w:r>
              <w:t>Spotter</w:t>
            </w:r>
            <w:r w:rsidRPr="00B55946">
              <w:rPr>
                <w:spacing w:val="-3"/>
              </w:rPr>
              <w:t xml:space="preserve"> </w:t>
            </w:r>
            <w:r w:rsidRPr="00B55946">
              <w:t>duties</w:t>
            </w:r>
          </w:p>
        </w:tc>
        <w:tc>
          <w:tcPr>
            <w:tcW w:w="958" w:type="dxa"/>
          </w:tcPr>
          <w:p w14:paraId="2ECE959E" w14:textId="77777777" w:rsidR="0028210F" w:rsidRPr="00B55946" w:rsidRDefault="0028210F" w:rsidP="0082392E">
            <w:pPr>
              <w:pStyle w:val="Bodycopy"/>
            </w:pPr>
            <w:r>
              <w:t>5.1</w:t>
            </w:r>
          </w:p>
        </w:tc>
        <w:tc>
          <w:tcPr>
            <w:tcW w:w="5562" w:type="dxa"/>
          </w:tcPr>
          <w:p w14:paraId="464E8D0A" w14:textId="77777777" w:rsidR="0028210F" w:rsidRPr="00B55946" w:rsidRDefault="0028210F" w:rsidP="0082392E">
            <w:pPr>
              <w:pStyle w:val="Bodycopy"/>
            </w:pPr>
            <w:r>
              <w:t>Communicate c</w:t>
            </w:r>
            <w:r w:rsidRPr="00B55946">
              <w:t xml:space="preserve">ompletion of </w:t>
            </w:r>
            <w:r>
              <w:t>Spotter</w:t>
            </w:r>
            <w:r w:rsidRPr="00B55946">
              <w:t xml:space="preserve"> duties clearly to appropriate personnel in accordance with workplace</w:t>
            </w:r>
            <w:r w:rsidRPr="00B55946">
              <w:rPr>
                <w:spacing w:val="-31"/>
              </w:rPr>
              <w:t xml:space="preserve"> </w:t>
            </w:r>
            <w:r>
              <w:t>procedures</w:t>
            </w:r>
          </w:p>
        </w:tc>
      </w:tr>
      <w:tr w:rsidR="0028210F" w:rsidRPr="00982853" w14:paraId="5DBE0F07" w14:textId="77777777" w:rsidTr="00352E7B">
        <w:tc>
          <w:tcPr>
            <w:tcW w:w="709" w:type="dxa"/>
          </w:tcPr>
          <w:p w14:paraId="74768774" w14:textId="77777777" w:rsidR="0028210F" w:rsidRPr="009F04FF" w:rsidRDefault="0028210F" w:rsidP="0082392E">
            <w:pPr>
              <w:pStyle w:val="Bodycopy"/>
            </w:pPr>
          </w:p>
        </w:tc>
        <w:tc>
          <w:tcPr>
            <w:tcW w:w="1985" w:type="dxa"/>
          </w:tcPr>
          <w:p w14:paraId="02377331" w14:textId="77777777" w:rsidR="0028210F" w:rsidRPr="005A3797" w:rsidRDefault="0028210F" w:rsidP="0082392E">
            <w:pPr>
              <w:pStyle w:val="Bodycopy"/>
            </w:pPr>
          </w:p>
        </w:tc>
        <w:tc>
          <w:tcPr>
            <w:tcW w:w="958" w:type="dxa"/>
          </w:tcPr>
          <w:p w14:paraId="244AD0A1" w14:textId="77777777" w:rsidR="0028210F" w:rsidRPr="00B55946" w:rsidRDefault="0028210F" w:rsidP="0082392E">
            <w:pPr>
              <w:pStyle w:val="Bodycopy"/>
            </w:pPr>
            <w:r>
              <w:t>5.2</w:t>
            </w:r>
          </w:p>
        </w:tc>
        <w:tc>
          <w:tcPr>
            <w:tcW w:w="5562" w:type="dxa"/>
          </w:tcPr>
          <w:p w14:paraId="6532824F" w14:textId="77777777" w:rsidR="0028210F" w:rsidRPr="00B55946" w:rsidRDefault="0028210F" w:rsidP="0082392E">
            <w:pPr>
              <w:pStyle w:val="Bodycopy"/>
            </w:pPr>
            <w:r>
              <w:t>Check t</w:t>
            </w:r>
            <w:r w:rsidRPr="00B55946">
              <w:t>ools and equipment, including PPE, check</w:t>
            </w:r>
            <w:r>
              <w:t xml:space="preserve"> for serviceability and store</w:t>
            </w:r>
            <w:r w:rsidRPr="00B55946">
              <w:t xml:space="preserve"> in accordance with workplace</w:t>
            </w:r>
            <w:r w:rsidRPr="00B55946">
              <w:rPr>
                <w:spacing w:val="-29"/>
              </w:rPr>
              <w:t xml:space="preserve"> </w:t>
            </w:r>
            <w:r>
              <w:t>procedures</w:t>
            </w:r>
          </w:p>
        </w:tc>
      </w:tr>
      <w:tr w:rsidR="0028210F" w:rsidRPr="00982853" w14:paraId="4CC0B633" w14:textId="77777777" w:rsidTr="00352E7B">
        <w:tc>
          <w:tcPr>
            <w:tcW w:w="709" w:type="dxa"/>
          </w:tcPr>
          <w:p w14:paraId="5F5362D2" w14:textId="77777777" w:rsidR="0028210F" w:rsidRPr="009F04FF" w:rsidRDefault="0028210F" w:rsidP="0082392E">
            <w:pPr>
              <w:pStyle w:val="Bodycopy"/>
            </w:pPr>
          </w:p>
        </w:tc>
        <w:tc>
          <w:tcPr>
            <w:tcW w:w="1985" w:type="dxa"/>
          </w:tcPr>
          <w:p w14:paraId="1D0305FB" w14:textId="77777777" w:rsidR="0028210F" w:rsidRPr="005A3797" w:rsidRDefault="0028210F" w:rsidP="0082392E">
            <w:pPr>
              <w:pStyle w:val="Bodycopy"/>
            </w:pPr>
          </w:p>
        </w:tc>
        <w:tc>
          <w:tcPr>
            <w:tcW w:w="958" w:type="dxa"/>
          </w:tcPr>
          <w:p w14:paraId="1809330C" w14:textId="77777777" w:rsidR="0028210F" w:rsidRPr="00B55946" w:rsidRDefault="0028210F" w:rsidP="0082392E">
            <w:pPr>
              <w:pStyle w:val="Bodycopy"/>
            </w:pPr>
            <w:r>
              <w:t>5.3</w:t>
            </w:r>
          </w:p>
        </w:tc>
        <w:tc>
          <w:tcPr>
            <w:tcW w:w="5562" w:type="dxa"/>
          </w:tcPr>
          <w:p w14:paraId="33F80410" w14:textId="77777777" w:rsidR="0028210F" w:rsidRPr="00B55946" w:rsidRDefault="0028210F" w:rsidP="0082392E">
            <w:pPr>
              <w:pStyle w:val="Bodycopy"/>
            </w:pPr>
            <w:r>
              <w:t>Complete r</w:t>
            </w:r>
            <w:r w:rsidRPr="00B55946">
              <w:t>elevant worksite records</w:t>
            </w:r>
            <w:r>
              <w:t>/documents</w:t>
            </w:r>
            <w:r w:rsidRPr="00B55946">
              <w:t xml:space="preserve"> in accordance</w:t>
            </w:r>
            <w:r w:rsidRPr="00B55946">
              <w:rPr>
                <w:spacing w:val="-24"/>
              </w:rPr>
              <w:t xml:space="preserve"> </w:t>
            </w:r>
            <w:r w:rsidRPr="00B55946">
              <w:t>with organisational requirements and</w:t>
            </w:r>
            <w:r w:rsidRPr="00B55946">
              <w:rPr>
                <w:spacing w:val="-3"/>
              </w:rPr>
              <w:t xml:space="preserve"> </w:t>
            </w:r>
            <w:r w:rsidRPr="00B55946">
              <w:t>standards.</w:t>
            </w:r>
          </w:p>
        </w:tc>
      </w:tr>
    </w:tbl>
    <w:p w14:paraId="181A9AF2" w14:textId="77777777" w:rsidR="0028210F" w:rsidRDefault="0028210F" w:rsidP="0028210F"/>
    <w:tbl>
      <w:tblPr>
        <w:tblW w:w="9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5982"/>
      </w:tblGrid>
      <w:tr w:rsidR="0028210F" w:rsidRPr="001214B1" w14:paraId="3912DCC2" w14:textId="77777777" w:rsidTr="001F4826">
        <w:tc>
          <w:tcPr>
            <w:tcW w:w="9248" w:type="dxa"/>
            <w:gridSpan w:val="2"/>
            <w:shd w:val="clear" w:color="auto" w:fill="auto"/>
          </w:tcPr>
          <w:p w14:paraId="4FB6F647" w14:textId="77777777" w:rsidR="0028210F" w:rsidRPr="00D73138" w:rsidRDefault="0028210F" w:rsidP="001F4826">
            <w:pPr>
              <w:pStyle w:val="SectionCsubsection"/>
            </w:pPr>
            <w:r w:rsidRPr="00BB1F5C">
              <w:t>RANGE OF CONDITIONS</w:t>
            </w:r>
          </w:p>
        </w:tc>
      </w:tr>
      <w:tr w:rsidR="0028210F" w:rsidRPr="001214B1" w14:paraId="0FC7CD6F" w14:textId="77777777" w:rsidTr="001F4826">
        <w:tc>
          <w:tcPr>
            <w:tcW w:w="9248" w:type="dxa"/>
            <w:gridSpan w:val="2"/>
            <w:shd w:val="clear" w:color="auto" w:fill="auto"/>
          </w:tcPr>
          <w:p w14:paraId="23ABC596" w14:textId="2EBA75FE" w:rsidR="0028210F" w:rsidRPr="0084410E" w:rsidRDefault="0028210F" w:rsidP="0082392E">
            <w:pPr>
              <w:pStyle w:val="Bodycopy"/>
            </w:pPr>
            <w:r w:rsidRPr="00507D69">
              <w:t xml:space="preserve">Weather conditions, particularly varying wind speeds, may increase risk levels associated with </w:t>
            </w:r>
            <w:r>
              <w:t>Spotter</w:t>
            </w:r>
            <w:r w:rsidRPr="00507D69">
              <w:t xml:space="preserve"> duties. </w:t>
            </w:r>
            <w:r w:rsidR="003F356F" w:rsidRPr="00507D69">
              <w:t>Also,</w:t>
            </w:r>
            <w:r w:rsidRPr="00507D69">
              <w:t xml:space="preserve"> wet weather and muddy soil can impact the stability of operational plant.</w:t>
            </w:r>
          </w:p>
        </w:tc>
      </w:tr>
      <w:tr w:rsidR="0028210F" w:rsidRPr="001214B1" w14:paraId="00CB7D14" w14:textId="77777777" w:rsidTr="001F4826">
        <w:tc>
          <w:tcPr>
            <w:tcW w:w="9248" w:type="dxa"/>
            <w:gridSpan w:val="2"/>
            <w:shd w:val="clear" w:color="auto" w:fill="auto"/>
          </w:tcPr>
          <w:p w14:paraId="61A7C507" w14:textId="77777777" w:rsidR="0028210F" w:rsidRPr="00BB1F5C" w:rsidRDefault="0028210F" w:rsidP="001F4826">
            <w:pPr>
              <w:pStyle w:val="SectionCsubsection"/>
            </w:pPr>
            <w:r w:rsidRPr="00BB1F5C">
              <w:t>FOUNDATION SKILLS</w:t>
            </w:r>
          </w:p>
          <w:p w14:paraId="7C3E7B80" w14:textId="77777777" w:rsidR="0028210F" w:rsidRPr="007B3FCB" w:rsidRDefault="0028210F" w:rsidP="0082392E">
            <w:pPr>
              <w:pStyle w:val="Bodycopy"/>
            </w:pPr>
            <w:r w:rsidRPr="009A08D4">
              <w:t>Foundation skills essential to performance in this unit, but not explicit in the performance criteria must be listed here, along with a brief description and how the skill is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2"/>
            </w:tblGrid>
            <w:tr w:rsidR="008D4BE6" w:rsidRPr="007B3FCB" w14:paraId="3100D7FE" w14:textId="77777777" w:rsidTr="002F4A01">
              <w:tc>
                <w:tcPr>
                  <w:tcW w:w="4427" w:type="dxa"/>
                  <w:shd w:val="clear" w:color="auto" w:fill="auto"/>
                </w:tcPr>
                <w:p w14:paraId="598281B1" w14:textId="77777777" w:rsidR="008D4BE6" w:rsidRPr="007B3FCB" w:rsidRDefault="008D4BE6" w:rsidP="0082392E">
                  <w:pPr>
                    <w:pStyle w:val="Bodycopy"/>
                  </w:pPr>
                  <w:r w:rsidRPr="00C45163">
                    <w:t>Skill</w:t>
                  </w:r>
                </w:p>
              </w:tc>
              <w:tc>
                <w:tcPr>
                  <w:tcW w:w="4422" w:type="dxa"/>
                </w:tcPr>
                <w:p w14:paraId="7EB641A2" w14:textId="77777777" w:rsidR="008D4BE6" w:rsidRPr="007B3FCB" w:rsidRDefault="008D4BE6" w:rsidP="0082392E">
                  <w:pPr>
                    <w:pStyle w:val="Bodycopy"/>
                    <w:rPr>
                      <w:highlight w:val="yellow"/>
                    </w:rPr>
                  </w:pPr>
                  <w:r w:rsidRPr="007B3FCB">
                    <w:t>Description</w:t>
                  </w:r>
                </w:p>
              </w:tc>
            </w:tr>
            <w:tr w:rsidR="008D4BE6" w:rsidRPr="007B3FCB" w14:paraId="32014E20" w14:textId="77777777" w:rsidTr="002F4A01">
              <w:tc>
                <w:tcPr>
                  <w:tcW w:w="4427" w:type="dxa"/>
                  <w:shd w:val="clear" w:color="auto" w:fill="auto"/>
                </w:tcPr>
                <w:p w14:paraId="086AF3BC" w14:textId="77777777" w:rsidR="008D4BE6" w:rsidRPr="007B3FCB" w:rsidRDefault="008D4BE6" w:rsidP="0082392E">
                  <w:pPr>
                    <w:pStyle w:val="Bodycopy"/>
                  </w:pPr>
                  <w:r w:rsidRPr="007B3FCB">
                    <w:t>Initiative and enterprise skills to:</w:t>
                  </w:r>
                </w:p>
              </w:tc>
              <w:tc>
                <w:tcPr>
                  <w:tcW w:w="4422" w:type="dxa"/>
                </w:tcPr>
                <w:p w14:paraId="0A151937" w14:textId="77777777" w:rsidR="008D4BE6" w:rsidRPr="00F927D3" w:rsidRDefault="008D4BE6" w:rsidP="00F927D3">
                  <w:pPr>
                    <w:pStyle w:val="ListBullet"/>
                  </w:pPr>
                  <w:r w:rsidRPr="00F927D3">
                    <w:t>report workplace safety issues</w:t>
                  </w:r>
                </w:p>
                <w:p w14:paraId="66750302" w14:textId="77777777" w:rsidR="008D4BE6" w:rsidRPr="00F927D3" w:rsidRDefault="008D4BE6" w:rsidP="00F927D3">
                  <w:pPr>
                    <w:pStyle w:val="ListBullet"/>
                  </w:pPr>
                  <w:r w:rsidRPr="00F927D3">
                    <w:t>locate and access information from a range of sources</w:t>
                  </w:r>
                </w:p>
              </w:tc>
            </w:tr>
            <w:tr w:rsidR="008D4BE6" w:rsidRPr="007B3FCB" w14:paraId="2BB0F465" w14:textId="77777777" w:rsidTr="002F4A01">
              <w:trPr>
                <w:trHeight w:val="820"/>
              </w:trPr>
              <w:tc>
                <w:tcPr>
                  <w:tcW w:w="4427" w:type="dxa"/>
                  <w:shd w:val="clear" w:color="auto" w:fill="auto"/>
                </w:tcPr>
                <w:p w14:paraId="771EF8C3" w14:textId="77777777" w:rsidR="008D4BE6" w:rsidRPr="007B3FCB" w:rsidRDefault="008D4BE6" w:rsidP="0082392E">
                  <w:pPr>
                    <w:pStyle w:val="Bodycopy"/>
                  </w:pPr>
                  <w:r w:rsidRPr="007B3FCB">
                    <w:t>Teamwork skills to:</w:t>
                  </w:r>
                </w:p>
              </w:tc>
              <w:tc>
                <w:tcPr>
                  <w:tcW w:w="4422" w:type="dxa"/>
                </w:tcPr>
                <w:p w14:paraId="7A3A5A8E" w14:textId="77777777" w:rsidR="008D4BE6" w:rsidRPr="00F927D3" w:rsidRDefault="008D4BE6" w:rsidP="00F927D3">
                  <w:pPr>
                    <w:pStyle w:val="ListBullet"/>
                  </w:pPr>
                  <w:r w:rsidRPr="00F927D3">
                    <w:t>work cooperatively to support equipment operator safety</w:t>
                  </w:r>
                </w:p>
              </w:tc>
            </w:tr>
          </w:tbl>
          <w:p w14:paraId="4F2C9241" w14:textId="77777777" w:rsidR="008D4BE6" w:rsidRDefault="008D4BE6" w:rsidP="000F5776">
            <w:pPr>
              <w:pStyle w:val="Guidingtext"/>
            </w:pPr>
          </w:p>
          <w:p w14:paraId="55823F84" w14:textId="13340EE8" w:rsidR="008D4BE6" w:rsidRPr="007B3FCB" w:rsidRDefault="008D4BE6" w:rsidP="000F5776">
            <w:pPr>
              <w:pStyle w:val="Guidingtext"/>
            </w:pPr>
          </w:p>
        </w:tc>
      </w:tr>
      <w:tr w:rsidR="0028210F" w:rsidRPr="00982853" w14:paraId="388E92EE" w14:textId="77777777" w:rsidTr="001F4826">
        <w:tblPrEx>
          <w:tblLook w:val="0000" w:firstRow="0" w:lastRow="0" w:firstColumn="0" w:lastColumn="0" w:noHBand="0" w:noVBand="0"/>
        </w:tblPrEx>
        <w:trPr>
          <w:trHeight w:val="1021"/>
        </w:trPr>
        <w:tc>
          <w:tcPr>
            <w:tcW w:w="3266" w:type="dxa"/>
          </w:tcPr>
          <w:p w14:paraId="198A1EBE" w14:textId="787A11E1" w:rsidR="0028210F" w:rsidRPr="00F44DEC" w:rsidRDefault="0028210F" w:rsidP="001F4826">
            <w:pPr>
              <w:pStyle w:val="SectionCsubsection"/>
            </w:pPr>
            <w:r w:rsidRPr="00F44DEC">
              <w:t>UNIT MAPPING INFORMATION</w:t>
            </w:r>
          </w:p>
        </w:tc>
        <w:tc>
          <w:tcPr>
            <w:tcW w:w="5982" w:type="dxa"/>
            <w:shd w:val="clear" w:color="auto" w:fill="auto"/>
          </w:tcPr>
          <w:p w14:paraId="62CA1486" w14:textId="489A5431" w:rsidR="0028210F" w:rsidRDefault="0028210F" w:rsidP="0082392E">
            <w:pPr>
              <w:pStyle w:val="Bodycopy"/>
            </w:pPr>
          </w:p>
          <w:tbl>
            <w:tblPr>
              <w:tblW w:w="5760" w:type="dxa"/>
              <w:tblLayout w:type="fixed"/>
              <w:tblCellMar>
                <w:left w:w="0" w:type="dxa"/>
                <w:right w:w="0" w:type="dxa"/>
              </w:tblCellMar>
              <w:tblLook w:val="04A0" w:firstRow="1" w:lastRow="0" w:firstColumn="1" w:lastColumn="0" w:noHBand="0" w:noVBand="1"/>
            </w:tblPr>
            <w:tblGrid>
              <w:gridCol w:w="1979"/>
              <w:gridCol w:w="1952"/>
              <w:gridCol w:w="1829"/>
            </w:tblGrid>
            <w:tr w:rsidR="0028210F" w:rsidRPr="00EF08AF" w14:paraId="04E8A4BE" w14:textId="77777777" w:rsidTr="00F927D3">
              <w:trPr>
                <w:trHeight w:val="759"/>
              </w:trPr>
              <w:tc>
                <w:tcPr>
                  <w:tcW w:w="197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7D82322E" w14:textId="77777777" w:rsidR="0028210F" w:rsidRPr="0015319E" w:rsidRDefault="0028210F" w:rsidP="0082392E">
                  <w:pPr>
                    <w:pStyle w:val="Bodycopy"/>
                  </w:pPr>
                  <w:r w:rsidRPr="0015319E">
                    <w:t>Code and Title</w:t>
                  </w:r>
                </w:p>
                <w:p w14:paraId="06CBFA9D" w14:textId="77777777" w:rsidR="0028210F" w:rsidRPr="0015319E" w:rsidRDefault="0028210F" w:rsidP="0082392E">
                  <w:pPr>
                    <w:pStyle w:val="Bodycopy"/>
                  </w:pPr>
                  <w:r w:rsidRPr="0015319E">
                    <w:t>Current Version</w:t>
                  </w:r>
                </w:p>
              </w:tc>
              <w:tc>
                <w:tcPr>
                  <w:tcW w:w="19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5A59FBBA" w14:textId="77777777" w:rsidR="0028210F" w:rsidRPr="0015319E" w:rsidRDefault="0028210F" w:rsidP="0082392E">
                  <w:pPr>
                    <w:pStyle w:val="Bodycopy"/>
                  </w:pPr>
                  <w:r w:rsidRPr="0015319E">
                    <w:t>Code and Title</w:t>
                  </w:r>
                </w:p>
                <w:p w14:paraId="491AEC3B" w14:textId="77777777" w:rsidR="0028210F" w:rsidRPr="0015319E" w:rsidRDefault="0028210F" w:rsidP="0082392E">
                  <w:pPr>
                    <w:pStyle w:val="Bodycopy"/>
                  </w:pPr>
                  <w:r w:rsidRPr="0015319E">
                    <w:t>Previous Version</w:t>
                  </w:r>
                </w:p>
              </w:tc>
              <w:tc>
                <w:tcPr>
                  <w:tcW w:w="182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8E56F39" w14:textId="77777777" w:rsidR="0028210F" w:rsidRPr="0015319E" w:rsidRDefault="0028210F" w:rsidP="0082392E">
                  <w:pPr>
                    <w:pStyle w:val="Bodycopy"/>
                  </w:pPr>
                  <w:r w:rsidRPr="0015319E">
                    <w:t>Comments</w:t>
                  </w:r>
                </w:p>
              </w:tc>
            </w:tr>
            <w:tr w:rsidR="0028210F" w:rsidRPr="00EF08AF" w14:paraId="1BFE121F" w14:textId="77777777" w:rsidTr="001F4826">
              <w:trPr>
                <w:trHeight w:val="2424"/>
              </w:trPr>
              <w:tc>
                <w:tcPr>
                  <w:tcW w:w="197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C04C7FD" w14:textId="77777777" w:rsidR="0028210F" w:rsidRPr="00EF08AF" w:rsidRDefault="0028210F" w:rsidP="0082392E">
                  <w:pPr>
                    <w:pStyle w:val="Bodycopy"/>
                  </w:pPr>
                  <w:r w:rsidRPr="00D373AE">
                    <w:t>VU</w:t>
                  </w:r>
                  <w:r>
                    <w:t>23165 Observe and manage the safe operation</w:t>
                  </w:r>
                  <w:r w:rsidRPr="00915578">
                    <w:t xml:space="preserve"> of plant and equipment around overhead and underground assets</w:t>
                  </w:r>
                </w:p>
              </w:tc>
              <w:tc>
                <w:tcPr>
                  <w:tcW w:w="19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E79333E" w14:textId="77777777" w:rsidR="0028210F" w:rsidRPr="00EF08AF" w:rsidRDefault="0028210F" w:rsidP="0082392E">
                  <w:pPr>
                    <w:pStyle w:val="Bodycopy"/>
                  </w:pPr>
                  <w:r w:rsidRPr="00915578">
                    <w:t>VU21936</w:t>
                  </w:r>
                  <w:r>
                    <w:t xml:space="preserve"> </w:t>
                  </w:r>
                  <w:r w:rsidRPr="00915578">
                    <w:t>Observe for the safe operation of plant and equipment around overhead and underground assets</w:t>
                  </w:r>
                </w:p>
              </w:tc>
              <w:tc>
                <w:tcPr>
                  <w:tcW w:w="1829"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AAF8E97" w14:textId="77777777" w:rsidR="0028210F" w:rsidRPr="00EF08AF" w:rsidRDefault="0028210F" w:rsidP="0082392E">
                  <w:pPr>
                    <w:pStyle w:val="Bodycopy"/>
                  </w:pPr>
                  <w:r>
                    <w:t>E</w:t>
                  </w:r>
                  <w:r w:rsidRPr="00EF08AF">
                    <w:t xml:space="preserve">quivalent </w:t>
                  </w:r>
                </w:p>
              </w:tc>
            </w:tr>
          </w:tbl>
          <w:p w14:paraId="7D09EBE0" w14:textId="77777777" w:rsidR="0028210F" w:rsidRPr="00EF08AF" w:rsidRDefault="0028210F" w:rsidP="000F5776">
            <w:pPr>
              <w:pStyle w:val="Guidingtext"/>
            </w:pPr>
          </w:p>
          <w:p w14:paraId="00AAEE8F" w14:textId="77777777" w:rsidR="0028210F" w:rsidRPr="00EF08AF" w:rsidRDefault="0028210F" w:rsidP="0082392E">
            <w:pPr>
              <w:pStyle w:val="Bodycopy"/>
            </w:pPr>
          </w:p>
        </w:tc>
      </w:tr>
    </w:tbl>
    <w:p w14:paraId="50A78A08" w14:textId="77777777" w:rsidR="0028210F" w:rsidRDefault="0028210F" w:rsidP="0028210F">
      <w:r>
        <w:br w:type="page"/>
      </w:r>
    </w:p>
    <w:p w14:paraId="4667247B" w14:textId="77777777" w:rsidR="0028210F" w:rsidRPr="00B24E69" w:rsidRDefault="0028210F" w:rsidP="0028210F">
      <w:pPr>
        <w:spacing w:before="120" w:after="120"/>
        <w:rPr>
          <w:rFonts w:ascii="Microsoft Sans Serif" w:hAnsi="Microsoft Sans Serif" w:cs="Microsoft Sans Serif"/>
          <w:b/>
        </w:rPr>
      </w:pPr>
      <w:r w:rsidRPr="00B24E69">
        <w:rPr>
          <w:rFonts w:ascii="Microsoft Sans Serif" w:hAnsi="Microsoft Sans Serif" w:cs="Microsoft Sans Serif"/>
          <w:b/>
          <w:sz w:val="28"/>
        </w:rPr>
        <w:t>Assessment Requirements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592"/>
      </w:tblGrid>
      <w:tr w:rsidR="0028210F" w:rsidRPr="00982853" w14:paraId="31AD1015" w14:textId="77777777" w:rsidTr="001F4826">
        <w:tc>
          <w:tcPr>
            <w:tcW w:w="2764" w:type="dxa"/>
            <w:tcBorders>
              <w:top w:val="single" w:sz="4" w:space="0" w:color="auto"/>
              <w:left w:val="single" w:sz="4" w:space="0" w:color="auto"/>
              <w:bottom w:val="single" w:sz="4" w:space="0" w:color="auto"/>
              <w:right w:val="single" w:sz="4" w:space="0" w:color="auto"/>
            </w:tcBorders>
            <w:shd w:val="clear" w:color="auto" w:fill="auto"/>
          </w:tcPr>
          <w:p w14:paraId="7DEF58C6" w14:textId="77777777" w:rsidR="0028210F" w:rsidRDefault="0028210F" w:rsidP="0082392E">
            <w:pPr>
              <w:pStyle w:val="Bold"/>
            </w:pPr>
            <w:r w:rsidRPr="007F154D">
              <w:t>TITLE</w:t>
            </w:r>
          </w:p>
          <w:p w14:paraId="622D98D1" w14:textId="77777777" w:rsidR="0028210F" w:rsidRPr="007F154D" w:rsidRDefault="0028210F" w:rsidP="0082392E">
            <w:pPr>
              <w:pStyle w:val="Bodycopy"/>
            </w:pPr>
          </w:p>
        </w:tc>
        <w:tc>
          <w:tcPr>
            <w:tcW w:w="6592" w:type="dxa"/>
            <w:tcBorders>
              <w:top w:val="single" w:sz="4" w:space="0" w:color="auto"/>
              <w:left w:val="single" w:sz="4" w:space="0" w:color="auto"/>
              <w:bottom w:val="single" w:sz="4" w:space="0" w:color="auto"/>
              <w:right w:val="single" w:sz="4" w:space="0" w:color="auto"/>
            </w:tcBorders>
            <w:shd w:val="clear" w:color="auto" w:fill="auto"/>
          </w:tcPr>
          <w:p w14:paraId="0A4C718E" w14:textId="77777777" w:rsidR="0028210F" w:rsidRPr="007F154D" w:rsidRDefault="0028210F" w:rsidP="0082392E">
            <w:pPr>
              <w:pStyle w:val="Bodycopy"/>
              <w:rPr>
                <w:highlight w:val="yellow"/>
              </w:rPr>
            </w:pPr>
            <w:r w:rsidRPr="008D4BE6">
              <w:t>Assessment Requirements for</w:t>
            </w:r>
            <w:r w:rsidRPr="00DA2EE5">
              <w:t xml:space="preserve"> </w:t>
            </w:r>
            <w:r w:rsidRPr="00FD45B8">
              <w:t>VU</w:t>
            </w:r>
            <w:r>
              <w:t>23165 Observe and manage the safe operation of plant and equipment around overhead and underground assets</w:t>
            </w:r>
          </w:p>
        </w:tc>
      </w:tr>
      <w:tr w:rsidR="0028210F" w:rsidRPr="00371AA5" w14:paraId="3A162E45" w14:textId="77777777" w:rsidTr="001F4826">
        <w:tc>
          <w:tcPr>
            <w:tcW w:w="2764" w:type="dxa"/>
            <w:shd w:val="clear" w:color="auto" w:fill="auto"/>
          </w:tcPr>
          <w:p w14:paraId="574EB1A5" w14:textId="77777777" w:rsidR="0028210F" w:rsidRDefault="0028210F" w:rsidP="0082392E">
            <w:pPr>
              <w:pStyle w:val="Bold"/>
            </w:pPr>
            <w:r w:rsidRPr="004B5AE6">
              <w:t>PERFORMANCE EVIDENCE</w:t>
            </w:r>
          </w:p>
          <w:p w14:paraId="0101F3BE" w14:textId="77777777" w:rsidR="0028210F" w:rsidRPr="004B5AE6" w:rsidRDefault="0028210F" w:rsidP="0082392E">
            <w:pPr>
              <w:pStyle w:val="Bold"/>
            </w:pPr>
          </w:p>
        </w:tc>
        <w:tc>
          <w:tcPr>
            <w:tcW w:w="6592" w:type="dxa"/>
            <w:shd w:val="clear" w:color="auto" w:fill="auto"/>
          </w:tcPr>
          <w:p w14:paraId="42F0699C" w14:textId="77777777" w:rsidR="0028210F" w:rsidRDefault="0028210F" w:rsidP="0082392E">
            <w:pPr>
              <w:pStyle w:val="Bodycopy"/>
            </w:pPr>
            <w:r>
              <w:t>The candidate must demonstrate the ability to complete the tasks outlined in the elements, performance criteria and foundation skills of this unit, including evidence of the ability to:</w:t>
            </w:r>
          </w:p>
          <w:p w14:paraId="1C10583F" w14:textId="77777777" w:rsidR="0028210F" w:rsidRPr="00285963" w:rsidRDefault="0028210F" w:rsidP="0082392E">
            <w:pPr>
              <w:pStyle w:val="Bodycopy"/>
              <w:numPr>
                <w:ilvl w:val="0"/>
                <w:numId w:val="11"/>
              </w:numPr>
            </w:pPr>
            <w:r>
              <w:t>Setup, identify and maintain safe distances from both a simulated, overhead and underground asset, with an item of plant and equipment capable of breaching the clearance no go zones.</w:t>
            </w:r>
          </w:p>
        </w:tc>
      </w:tr>
      <w:tr w:rsidR="0028210F" w:rsidRPr="00371AA5" w14:paraId="023D18E5" w14:textId="77777777" w:rsidTr="001F4826">
        <w:tc>
          <w:tcPr>
            <w:tcW w:w="2764" w:type="dxa"/>
            <w:shd w:val="clear" w:color="auto" w:fill="auto"/>
          </w:tcPr>
          <w:p w14:paraId="7FF9EE8B" w14:textId="77777777" w:rsidR="0028210F" w:rsidRDefault="0028210F" w:rsidP="0082392E">
            <w:pPr>
              <w:pStyle w:val="Bold"/>
            </w:pPr>
            <w:r w:rsidRPr="00DA2EE5">
              <w:t>KNOWLEDGE EVIDENCE</w:t>
            </w:r>
          </w:p>
          <w:p w14:paraId="324156C3" w14:textId="77777777" w:rsidR="0028210F" w:rsidRPr="00DA2EE5" w:rsidRDefault="0028210F" w:rsidP="0082392E">
            <w:pPr>
              <w:pStyle w:val="Bold"/>
            </w:pPr>
          </w:p>
        </w:tc>
        <w:tc>
          <w:tcPr>
            <w:tcW w:w="6592" w:type="dxa"/>
            <w:shd w:val="clear" w:color="auto" w:fill="auto"/>
          </w:tcPr>
          <w:p w14:paraId="0FAA51E2" w14:textId="77777777" w:rsidR="0028210F" w:rsidRPr="007E2787" w:rsidRDefault="0028210F" w:rsidP="0082392E">
            <w:pPr>
              <w:pStyle w:val="Bodycopy"/>
            </w:pPr>
            <w:r w:rsidRPr="007E2787">
              <w:t>The learner must be able to demonstrate essential knowledge required to effectively do the task outlined in elements and performance criteria of this unit, manage the task and manage contingencies in the context of the work role. This includes knowledge of:</w:t>
            </w:r>
          </w:p>
          <w:p w14:paraId="1413F2D1" w14:textId="77777777" w:rsidR="0028210F" w:rsidRPr="007E2787" w:rsidRDefault="0028210F" w:rsidP="001F4826">
            <w:pPr>
              <w:pStyle w:val="ListBullet"/>
            </w:pPr>
            <w:r w:rsidRPr="007E2787">
              <w:t>responsibilities, function, duties, operational procedures and limitations of spotter work</w:t>
            </w:r>
          </w:p>
          <w:p w14:paraId="5C56F9BD" w14:textId="77777777" w:rsidR="0028210F" w:rsidRPr="007E2787" w:rsidRDefault="0028210F" w:rsidP="001F4826">
            <w:pPr>
              <w:pStyle w:val="ListBullet"/>
            </w:pPr>
            <w:r w:rsidRPr="007E2787">
              <w:t>terminology that complies with the No Go Zone framework, including “spotter” and “permit” zone</w:t>
            </w:r>
          </w:p>
          <w:p w14:paraId="0FB7C23F" w14:textId="77777777" w:rsidR="0028210F" w:rsidRPr="007E2787" w:rsidRDefault="0028210F" w:rsidP="001F4826">
            <w:pPr>
              <w:pStyle w:val="ListBullet"/>
            </w:pPr>
            <w:r w:rsidRPr="007E2787">
              <w:t>basic concepts of electrical power generation and distribution, including:</w:t>
            </w:r>
          </w:p>
          <w:p w14:paraId="17A3A4A9" w14:textId="77777777" w:rsidR="0028210F" w:rsidRPr="007E2787" w:rsidRDefault="0028210F" w:rsidP="0028210F">
            <w:pPr>
              <w:pStyle w:val="ListBullet-2"/>
              <w:numPr>
                <w:ilvl w:val="0"/>
                <w:numId w:val="10"/>
              </w:numPr>
              <w:spacing w:before="0" w:after="0"/>
              <w:ind w:left="1077" w:hanging="357"/>
            </w:pPr>
            <w:bookmarkStart w:id="62" w:name="_Hlk95753290"/>
            <w:r w:rsidRPr="007E2787">
              <w:t>the potential of electricity to cause injury, death or damage</w:t>
            </w:r>
          </w:p>
          <w:bookmarkEnd w:id="62"/>
          <w:p w14:paraId="7BF09C97" w14:textId="77777777" w:rsidR="0028210F" w:rsidRPr="007E2787" w:rsidRDefault="0028210F" w:rsidP="0028210F">
            <w:pPr>
              <w:pStyle w:val="ListBullet-2"/>
              <w:numPr>
                <w:ilvl w:val="0"/>
                <w:numId w:val="10"/>
              </w:numPr>
              <w:spacing w:before="0" w:after="0"/>
              <w:ind w:left="1077" w:hanging="357"/>
            </w:pPr>
            <w:r w:rsidRPr="007E2787">
              <w:t>variations in conductor/s</w:t>
            </w:r>
          </w:p>
          <w:p w14:paraId="58B44BB5" w14:textId="77777777" w:rsidR="0028210F" w:rsidRPr="007E2787" w:rsidRDefault="0028210F" w:rsidP="0028210F">
            <w:pPr>
              <w:pStyle w:val="ListBullet2"/>
              <w:numPr>
                <w:ilvl w:val="0"/>
                <w:numId w:val="10"/>
              </w:numPr>
              <w:tabs>
                <w:tab w:val="left" w:pos="720"/>
              </w:tabs>
              <w:ind w:left="1077" w:hanging="357"/>
            </w:pPr>
            <w:r w:rsidRPr="007E2787">
              <w:t>electricity taking the shortest path to ground</w:t>
            </w:r>
          </w:p>
          <w:p w14:paraId="17C94C87" w14:textId="77777777" w:rsidR="0028210F" w:rsidRPr="007E2787" w:rsidRDefault="0028210F" w:rsidP="0028210F">
            <w:pPr>
              <w:pStyle w:val="ListBullet2"/>
              <w:numPr>
                <w:ilvl w:val="0"/>
                <w:numId w:val="10"/>
              </w:numPr>
              <w:tabs>
                <w:tab w:val="left" w:pos="720"/>
              </w:tabs>
              <w:ind w:left="1077" w:hanging="357"/>
            </w:pPr>
            <w:r w:rsidRPr="007E2787">
              <w:t>effects of electrical incidents on the human body</w:t>
            </w:r>
          </w:p>
          <w:p w14:paraId="20898E7E" w14:textId="77777777" w:rsidR="0028210F" w:rsidRPr="007E2787" w:rsidRDefault="0028210F" w:rsidP="0028210F">
            <w:pPr>
              <w:pStyle w:val="ListBullet2"/>
              <w:numPr>
                <w:ilvl w:val="0"/>
                <w:numId w:val="10"/>
              </w:numPr>
              <w:tabs>
                <w:tab w:val="left" w:pos="720"/>
              </w:tabs>
              <w:ind w:left="1077" w:hanging="357"/>
            </w:pPr>
            <w:r w:rsidRPr="007E2787">
              <w:t>step and touch potential</w:t>
            </w:r>
          </w:p>
          <w:p w14:paraId="582C3B22" w14:textId="77777777" w:rsidR="0028210F" w:rsidRPr="007E2787" w:rsidRDefault="0028210F" w:rsidP="0028210F">
            <w:pPr>
              <w:pStyle w:val="ListBullet2"/>
              <w:numPr>
                <w:ilvl w:val="0"/>
                <w:numId w:val="10"/>
              </w:numPr>
              <w:tabs>
                <w:tab w:val="left" w:pos="720"/>
              </w:tabs>
              <w:ind w:left="1077" w:hanging="357"/>
            </w:pPr>
            <w:r w:rsidRPr="007E2787">
              <w:t>assumption that all electrical assets must be considered to be electrically live</w:t>
            </w:r>
          </w:p>
          <w:p w14:paraId="33E56C81" w14:textId="77777777" w:rsidR="0028210F" w:rsidRPr="007E2787" w:rsidRDefault="0028210F" w:rsidP="0028210F">
            <w:pPr>
              <w:pStyle w:val="ListBullet2"/>
              <w:numPr>
                <w:ilvl w:val="0"/>
                <w:numId w:val="10"/>
              </w:numPr>
              <w:tabs>
                <w:tab w:val="left" w:pos="720"/>
              </w:tabs>
              <w:ind w:left="1077" w:hanging="357"/>
            </w:pPr>
            <w:r w:rsidRPr="007E2787">
              <w:t>severed lines or cables must be considered to be live at all times</w:t>
            </w:r>
          </w:p>
          <w:p w14:paraId="038072F3" w14:textId="77777777" w:rsidR="0028210F" w:rsidRPr="007E2787" w:rsidRDefault="0028210F" w:rsidP="0028210F">
            <w:pPr>
              <w:pStyle w:val="ListBullet2"/>
              <w:numPr>
                <w:ilvl w:val="0"/>
                <w:numId w:val="10"/>
              </w:numPr>
              <w:tabs>
                <w:tab w:val="left" w:pos="720"/>
              </w:tabs>
              <w:ind w:left="1077" w:hanging="357"/>
            </w:pPr>
            <w:r w:rsidRPr="007E2787">
              <w:t>variations which enhance the potential to arc</w:t>
            </w:r>
          </w:p>
          <w:p w14:paraId="71C67ED5" w14:textId="77777777" w:rsidR="0028210F" w:rsidRPr="007E2787" w:rsidRDefault="0028210F" w:rsidP="0028210F">
            <w:pPr>
              <w:pStyle w:val="ListBullet2"/>
              <w:numPr>
                <w:ilvl w:val="0"/>
                <w:numId w:val="10"/>
              </w:numPr>
              <w:tabs>
                <w:tab w:val="left" w:pos="720"/>
              </w:tabs>
              <w:ind w:left="1077" w:hanging="357"/>
            </w:pPr>
            <w:bookmarkStart w:id="63" w:name="_Hlk95753303"/>
            <w:r w:rsidRPr="007E2787">
              <w:t>traction systems (tram and train)</w:t>
            </w:r>
          </w:p>
          <w:bookmarkEnd w:id="63"/>
          <w:p w14:paraId="66FCB82C" w14:textId="77777777" w:rsidR="0028210F" w:rsidRPr="007E2787" w:rsidRDefault="0028210F" w:rsidP="001F4826">
            <w:pPr>
              <w:pStyle w:val="ListBullet"/>
            </w:pPr>
            <w:r w:rsidRPr="007E2787">
              <w:t>types of service assets including:</w:t>
            </w:r>
          </w:p>
          <w:p w14:paraId="08326780" w14:textId="77777777" w:rsidR="0028210F" w:rsidRPr="007E2787" w:rsidRDefault="0028210F" w:rsidP="0028210F">
            <w:pPr>
              <w:pStyle w:val="ListBullet-2"/>
              <w:numPr>
                <w:ilvl w:val="0"/>
                <w:numId w:val="10"/>
              </w:numPr>
              <w:ind w:left="1077" w:hanging="357"/>
            </w:pPr>
            <w:r w:rsidRPr="007E2787">
              <w:t>electrical conductors, earth systems, cathodic protection systems</w:t>
            </w:r>
          </w:p>
          <w:p w14:paraId="10B9421D" w14:textId="77777777" w:rsidR="0028210F" w:rsidRPr="007E2787" w:rsidRDefault="0028210F" w:rsidP="0028210F">
            <w:pPr>
              <w:pStyle w:val="ListBullet-2"/>
              <w:numPr>
                <w:ilvl w:val="0"/>
                <w:numId w:val="10"/>
              </w:numPr>
              <w:ind w:left="1077" w:hanging="357"/>
            </w:pPr>
            <w:r w:rsidRPr="007E2787">
              <w:t>telecommunication cables, including fibre optic and co-axial cabling</w:t>
            </w:r>
          </w:p>
          <w:p w14:paraId="2E2A173F" w14:textId="77777777" w:rsidR="0028210F" w:rsidRPr="007E2787" w:rsidRDefault="0028210F" w:rsidP="0028210F">
            <w:pPr>
              <w:pStyle w:val="ListBullet-2"/>
              <w:numPr>
                <w:ilvl w:val="0"/>
                <w:numId w:val="10"/>
              </w:numPr>
              <w:ind w:left="1077" w:hanging="357"/>
            </w:pPr>
            <w:r w:rsidRPr="007E2787">
              <w:t>gas lines at distribution and transmission pressures</w:t>
            </w:r>
          </w:p>
          <w:p w14:paraId="1FCA9505" w14:textId="77777777" w:rsidR="0028210F" w:rsidRPr="007E2787" w:rsidRDefault="0028210F" w:rsidP="0028210F">
            <w:pPr>
              <w:pStyle w:val="ListBullet-2"/>
              <w:numPr>
                <w:ilvl w:val="0"/>
                <w:numId w:val="10"/>
              </w:numPr>
              <w:ind w:left="1077" w:hanging="357"/>
            </w:pPr>
            <w:r w:rsidRPr="007E2787">
              <w:t>liquid lines – water, sewerage, petroleum products</w:t>
            </w:r>
          </w:p>
          <w:p w14:paraId="39C39F15" w14:textId="77777777" w:rsidR="0028210F" w:rsidRPr="007E2787" w:rsidRDefault="0028210F" w:rsidP="0028210F">
            <w:pPr>
              <w:pStyle w:val="ListBullet-2"/>
              <w:numPr>
                <w:ilvl w:val="0"/>
                <w:numId w:val="10"/>
              </w:numPr>
              <w:ind w:left="1077" w:hanging="357"/>
            </w:pPr>
            <w:r w:rsidRPr="007E2787">
              <w:t>drainage systems</w:t>
            </w:r>
          </w:p>
          <w:p w14:paraId="20BAC04C" w14:textId="77777777" w:rsidR="0028210F" w:rsidRPr="007E2787" w:rsidRDefault="0028210F" w:rsidP="001F4826">
            <w:pPr>
              <w:pStyle w:val="ListBullet"/>
            </w:pPr>
            <w:r w:rsidRPr="007E2787">
              <w:t>asset plan content including:</w:t>
            </w:r>
          </w:p>
          <w:p w14:paraId="376FEB04" w14:textId="77777777" w:rsidR="0028210F" w:rsidRPr="007E2787" w:rsidRDefault="0028210F" w:rsidP="0028210F">
            <w:pPr>
              <w:pStyle w:val="ListBullet-2"/>
              <w:numPr>
                <w:ilvl w:val="0"/>
                <w:numId w:val="10"/>
              </w:numPr>
              <w:ind w:left="1077" w:hanging="357"/>
            </w:pPr>
            <w:r w:rsidRPr="007E2787">
              <w:t>Dial Before You Dig / Before You Dig Australia</w:t>
            </w:r>
          </w:p>
          <w:p w14:paraId="5B97D643" w14:textId="77777777" w:rsidR="0028210F" w:rsidRPr="007E2787" w:rsidRDefault="0028210F" w:rsidP="0028210F">
            <w:pPr>
              <w:pStyle w:val="ListBullet-2"/>
              <w:numPr>
                <w:ilvl w:val="0"/>
                <w:numId w:val="10"/>
              </w:numPr>
              <w:ind w:left="1077" w:hanging="357"/>
            </w:pPr>
            <w:r w:rsidRPr="007E2787">
              <w:t>as built company plans and drawings</w:t>
            </w:r>
          </w:p>
          <w:p w14:paraId="6B03B210" w14:textId="77777777" w:rsidR="0028210F" w:rsidRPr="007E2787" w:rsidRDefault="0028210F" w:rsidP="0028210F">
            <w:pPr>
              <w:pStyle w:val="ListBullet-2"/>
              <w:numPr>
                <w:ilvl w:val="0"/>
                <w:numId w:val="10"/>
              </w:numPr>
              <w:ind w:left="1077" w:hanging="357"/>
            </w:pPr>
            <w:r w:rsidRPr="007E2787">
              <w:t>asset location</w:t>
            </w:r>
          </w:p>
          <w:p w14:paraId="07D2F4F8" w14:textId="77777777" w:rsidR="0028210F" w:rsidRPr="007E2787" w:rsidRDefault="0028210F" w:rsidP="0028210F">
            <w:pPr>
              <w:pStyle w:val="ListBullet-2"/>
              <w:numPr>
                <w:ilvl w:val="0"/>
                <w:numId w:val="10"/>
              </w:numPr>
              <w:ind w:left="1077" w:hanging="357"/>
            </w:pPr>
            <w:r w:rsidRPr="007E2787">
              <w:t>contact reference</w:t>
            </w:r>
          </w:p>
          <w:p w14:paraId="430C89F6" w14:textId="77777777" w:rsidR="0028210F" w:rsidRPr="007E2787" w:rsidRDefault="0028210F" w:rsidP="0028210F">
            <w:pPr>
              <w:pStyle w:val="ListBullet-2"/>
              <w:numPr>
                <w:ilvl w:val="0"/>
                <w:numId w:val="10"/>
              </w:numPr>
              <w:ind w:left="1077" w:hanging="357"/>
            </w:pPr>
            <w:r w:rsidRPr="007E2787">
              <w:t>company drawing</w:t>
            </w:r>
          </w:p>
          <w:p w14:paraId="5315813A" w14:textId="77777777" w:rsidR="0028210F" w:rsidRPr="007E2787" w:rsidRDefault="0028210F" w:rsidP="001F4826">
            <w:pPr>
              <w:pStyle w:val="ListBullet"/>
            </w:pPr>
            <w:r w:rsidRPr="007E2787">
              <w:t>component parts of electrical distribution systems including electrical assets such as:</w:t>
            </w:r>
          </w:p>
          <w:p w14:paraId="7B0B6642" w14:textId="77777777" w:rsidR="0028210F" w:rsidRPr="007E2787" w:rsidRDefault="0028210F" w:rsidP="0028210F">
            <w:pPr>
              <w:pStyle w:val="ListBullet-2"/>
              <w:numPr>
                <w:ilvl w:val="0"/>
                <w:numId w:val="10"/>
              </w:numPr>
              <w:ind w:left="1077" w:hanging="357"/>
            </w:pPr>
            <w:r w:rsidRPr="007E2787">
              <w:t>overhead conductors/cables/lines</w:t>
            </w:r>
          </w:p>
          <w:p w14:paraId="7F5EEA28" w14:textId="77777777" w:rsidR="0028210F" w:rsidRPr="007E2787" w:rsidRDefault="0028210F" w:rsidP="0028210F">
            <w:pPr>
              <w:pStyle w:val="ListBullet-2"/>
              <w:numPr>
                <w:ilvl w:val="0"/>
                <w:numId w:val="10"/>
              </w:numPr>
              <w:ind w:left="1077" w:hanging="357"/>
            </w:pPr>
            <w:r w:rsidRPr="007E2787">
              <w:t>underground service pits and pillars</w:t>
            </w:r>
          </w:p>
          <w:p w14:paraId="774A0E38" w14:textId="77777777" w:rsidR="0028210F" w:rsidRPr="007E2787" w:rsidRDefault="0028210F" w:rsidP="0028210F">
            <w:pPr>
              <w:pStyle w:val="ListBullet-2"/>
              <w:numPr>
                <w:ilvl w:val="0"/>
                <w:numId w:val="10"/>
              </w:numPr>
              <w:ind w:left="1077" w:hanging="357"/>
            </w:pPr>
            <w:r w:rsidRPr="007E2787">
              <w:t>transmission towers, lines and easements</w:t>
            </w:r>
          </w:p>
          <w:p w14:paraId="6F1066C3" w14:textId="77777777" w:rsidR="0028210F" w:rsidRPr="007E2787" w:rsidRDefault="0028210F" w:rsidP="0028210F">
            <w:pPr>
              <w:pStyle w:val="ListBullet-2"/>
              <w:numPr>
                <w:ilvl w:val="0"/>
                <w:numId w:val="10"/>
              </w:numPr>
              <w:ind w:left="1077" w:hanging="357"/>
            </w:pPr>
            <w:r w:rsidRPr="007E2787">
              <w:t>tiger battens</w:t>
            </w:r>
          </w:p>
          <w:p w14:paraId="634340BF" w14:textId="77777777" w:rsidR="0028210F" w:rsidRPr="007E2787" w:rsidRDefault="0028210F" w:rsidP="0028210F">
            <w:pPr>
              <w:pStyle w:val="ListBullet-2"/>
              <w:numPr>
                <w:ilvl w:val="0"/>
                <w:numId w:val="10"/>
              </w:numPr>
              <w:ind w:left="1077" w:hanging="357"/>
            </w:pPr>
            <w:r w:rsidRPr="007E2787">
              <w:t>power poles</w:t>
            </w:r>
          </w:p>
          <w:p w14:paraId="2617CD9C" w14:textId="77777777" w:rsidR="0028210F" w:rsidRPr="007E2787" w:rsidRDefault="0028210F" w:rsidP="0028210F">
            <w:pPr>
              <w:pStyle w:val="ListBullet-2"/>
              <w:numPr>
                <w:ilvl w:val="0"/>
                <w:numId w:val="10"/>
              </w:numPr>
              <w:ind w:left="1077" w:hanging="357"/>
            </w:pPr>
            <w:r w:rsidRPr="007E2787">
              <w:t>transformers on poles or on-ground situations</w:t>
            </w:r>
          </w:p>
          <w:p w14:paraId="7A379490" w14:textId="77777777" w:rsidR="0028210F" w:rsidRPr="007E2787" w:rsidRDefault="0028210F" w:rsidP="0028210F">
            <w:pPr>
              <w:pStyle w:val="ListBullet-2"/>
              <w:numPr>
                <w:ilvl w:val="0"/>
                <w:numId w:val="10"/>
              </w:numPr>
              <w:ind w:left="1077" w:hanging="357"/>
            </w:pPr>
            <w:r w:rsidRPr="007E2787">
              <w:t>circuit breakers</w:t>
            </w:r>
          </w:p>
          <w:p w14:paraId="414B4FAC" w14:textId="77777777" w:rsidR="0028210F" w:rsidRPr="007E2787" w:rsidRDefault="0028210F" w:rsidP="0028210F">
            <w:pPr>
              <w:pStyle w:val="ListBullet-2"/>
              <w:numPr>
                <w:ilvl w:val="0"/>
                <w:numId w:val="10"/>
              </w:numPr>
              <w:ind w:left="1077" w:hanging="357"/>
            </w:pPr>
            <w:r w:rsidRPr="007E2787">
              <w:t>isolators</w:t>
            </w:r>
          </w:p>
          <w:p w14:paraId="013C60F7" w14:textId="77777777" w:rsidR="0028210F" w:rsidRPr="007E2787" w:rsidRDefault="0028210F" w:rsidP="0028210F">
            <w:pPr>
              <w:pStyle w:val="ListBullet-2"/>
              <w:numPr>
                <w:ilvl w:val="0"/>
                <w:numId w:val="10"/>
              </w:numPr>
              <w:ind w:left="1077" w:hanging="357"/>
            </w:pPr>
            <w:r w:rsidRPr="007E2787">
              <w:t>disconnectors</w:t>
            </w:r>
          </w:p>
          <w:p w14:paraId="0460914A" w14:textId="77777777" w:rsidR="0028210F" w:rsidRPr="007E2787" w:rsidRDefault="0028210F" w:rsidP="0028210F">
            <w:pPr>
              <w:pStyle w:val="ListBullet-2"/>
              <w:numPr>
                <w:ilvl w:val="0"/>
                <w:numId w:val="10"/>
              </w:numPr>
              <w:ind w:left="1077" w:hanging="357"/>
            </w:pPr>
            <w:r w:rsidRPr="007E2787">
              <w:t>fuses</w:t>
            </w:r>
          </w:p>
          <w:p w14:paraId="07B28826" w14:textId="77777777" w:rsidR="0028210F" w:rsidRPr="007E2787" w:rsidRDefault="0028210F" w:rsidP="0028210F">
            <w:pPr>
              <w:pStyle w:val="ListBullet-2"/>
              <w:numPr>
                <w:ilvl w:val="0"/>
                <w:numId w:val="10"/>
              </w:numPr>
              <w:ind w:left="1077" w:hanging="357"/>
            </w:pPr>
            <w:r w:rsidRPr="007E2787">
              <w:t>insulators, capacitors</w:t>
            </w:r>
          </w:p>
          <w:p w14:paraId="671DC49F" w14:textId="77777777" w:rsidR="0028210F" w:rsidRPr="007E2787" w:rsidRDefault="0028210F" w:rsidP="0028210F">
            <w:pPr>
              <w:pStyle w:val="ListBullet-2"/>
              <w:numPr>
                <w:ilvl w:val="0"/>
                <w:numId w:val="10"/>
              </w:numPr>
              <w:ind w:left="1077" w:hanging="357"/>
            </w:pPr>
            <w:r w:rsidRPr="007E2787">
              <w:t>cross arms</w:t>
            </w:r>
          </w:p>
          <w:p w14:paraId="7C0CE5C6" w14:textId="77777777" w:rsidR="0028210F" w:rsidRPr="007E2787" w:rsidRDefault="0028210F" w:rsidP="0028210F">
            <w:pPr>
              <w:pStyle w:val="ListBullet-2"/>
              <w:numPr>
                <w:ilvl w:val="0"/>
                <w:numId w:val="10"/>
              </w:numPr>
              <w:ind w:left="1077" w:hanging="357"/>
            </w:pPr>
            <w:r w:rsidRPr="007E2787">
              <w:t>sub-stations/kiosks in private/commercial and industrial locations</w:t>
            </w:r>
          </w:p>
          <w:p w14:paraId="15D7E36E" w14:textId="77777777" w:rsidR="0028210F" w:rsidRPr="007E2787" w:rsidRDefault="0028210F" w:rsidP="0028210F">
            <w:pPr>
              <w:pStyle w:val="ListBullet-2"/>
              <w:numPr>
                <w:ilvl w:val="0"/>
                <w:numId w:val="10"/>
              </w:numPr>
              <w:ind w:left="1077" w:hanging="357"/>
            </w:pPr>
            <w:r w:rsidRPr="007E2787">
              <w:t>earth systems and grids</w:t>
            </w:r>
          </w:p>
          <w:p w14:paraId="163CA83D" w14:textId="77777777" w:rsidR="0028210F" w:rsidRPr="007E2787" w:rsidRDefault="0028210F" w:rsidP="0028210F">
            <w:pPr>
              <w:pStyle w:val="ListBullet-2"/>
              <w:numPr>
                <w:ilvl w:val="0"/>
                <w:numId w:val="10"/>
              </w:numPr>
              <w:ind w:left="1077" w:hanging="357"/>
            </w:pPr>
            <w:r w:rsidRPr="007E2787">
              <w:t>strainers, catenaries and support cables</w:t>
            </w:r>
          </w:p>
          <w:p w14:paraId="300EE542" w14:textId="77777777" w:rsidR="0028210F" w:rsidRPr="007E2787" w:rsidRDefault="0028210F" w:rsidP="0028210F">
            <w:pPr>
              <w:pStyle w:val="ListBullet-2"/>
              <w:numPr>
                <w:ilvl w:val="0"/>
                <w:numId w:val="10"/>
              </w:numPr>
              <w:ind w:left="1077" w:hanging="357"/>
            </w:pPr>
            <w:r w:rsidRPr="007E2787">
              <w:t>traction cabling</w:t>
            </w:r>
          </w:p>
          <w:p w14:paraId="467DD830" w14:textId="77777777" w:rsidR="0028210F" w:rsidRPr="007E2787" w:rsidRDefault="0028210F" w:rsidP="0028210F">
            <w:pPr>
              <w:pStyle w:val="ListBullet-2"/>
              <w:numPr>
                <w:ilvl w:val="0"/>
                <w:numId w:val="10"/>
              </w:numPr>
              <w:ind w:left="1077" w:hanging="357"/>
            </w:pPr>
            <w:r w:rsidRPr="007E2787">
              <w:t>conduits</w:t>
            </w:r>
          </w:p>
          <w:p w14:paraId="64DB80A7" w14:textId="77777777" w:rsidR="0028210F" w:rsidRPr="007E2787" w:rsidRDefault="0028210F" w:rsidP="0028210F">
            <w:pPr>
              <w:pStyle w:val="ListBullet-2"/>
              <w:numPr>
                <w:ilvl w:val="0"/>
                <w:numId w:val="10"/>
              </w:numPr>
              <w:ind w:left="1077" w:hanging="357"/>
            </w:pPr>
            <w:r w:rsidRPr="007E2787">
              <w:t>electrolysis return cabling involved with tram and train traction</w:t>
            </w:r>
          </w:p>
          <w:p w14:paraId="53E370FE" w14:textId="77777777" w:rsidR="0028210F" w:rsidRPr="007E2787" w:rsidRDefault="0028210F" w:rsidP="0028210F">
            <w:pPr>
              <w:pStyle w:val="ListBullet-2"/>
              <w:numPr>
                <w:ilvl w:val="0"/>
                <w:numId w:val="10"/>
              </w:numPr>
              <w:ind w:left="1077" w:hanging="357"/>
            </w:pPr>
            <w:r w:rsidRPr="007E2787">
              <w:t>telecommunications systems</w:t>
            </w:r>
          </w:p>
          <w:p w14:paraId="57729072" w14:textId="77777777" w:rsidR="0028210F" w:rsidRPr="007E2787" w:rsidRDefault="0028210F" w:rsidP="0028210F">
            <w:pPr>
              <w:pStyle w:val="ListBullet-2"/>
              <w:numPr>
                <w:ilvl w:val="0"/>
                <w:numId w:val="10"/>
              </w:numPr>
              <w:ind w:left="1077" w:hanging="357"/>
            </w:pPr>
            <w:r w:rsidRPr="007E2787">
              <w:t>construction installation wiring</w:t>
            </w:r>
          </w:p>
          <w:p w14:paraId="611C4CE3" w14:textId="77777777" w:rsidR="0028210F" w:rsidRPr="007E2787" w:rsidRDefault="0028210F" w:rsidP="001F4826">
            <w:pPr>
              <w:pStyle w:val="ListBullet"/>
            </w:pPr>
            <w:r w:rsidRPr="007E2787">
              <w:t>operational knowledge of working around overhead and underground assets related to:</w:t>
            </w:r>
          </w:p>
          <w:p w14:paraId="15BE9AC0" w14:textId="77777777" w:rsidR="0028210F" w:rsidRPr="007E2787" w:rsidRDefault="0028210F" w:rsidP="0028210F">
            <w:pPr>
              <w:pStyle w:val="ListBullet-2"/>
              <w:numPr>
                <w:ilvl w:val="0"/>
                <w:numId w:val="10"/>
              </w:numPr>
              <w:ind w:left="1077" w:hanging="357"/>
            </w:pPr>
            <w:r w:rsidRPr="007E2787">
              <w:t>equipment and methods of communication used by No Go Zones spotters, including their reasons for use and justification</w:t>
            </w:r>
          </w:p>
          <w:p w14:paraId="4C437C02" w14:textId="77777777" w:rsidR="0028210F" w:rsidRPr="007E2787" w:rsidRDefault="0028210F" w:rsidP="0028210F">
            <w:pPr>
              <w:pStyle w:val="ListBullet-2"/>
              <w:numPr>
                <w:ilvl w:val="0"/>
                <w:numId w:val="10"/>
              </w:numPr>
              <w:ind w:left="1077" w:hanging="357"/>
            </w:pPr>
            <w:r w:rsidRPr="007E2787">
              <w:t>the control of plant and equipment at a workplace using visual and auditory control signals</w:t>
            </w:r>
          </w:p>
          <w:p w14:paraId="53F944C6" w14:textId="77777777" w:rsidR="0028210F" w:rsidRPr="007E2787" w:rsidRDefault="0028210F" w:rsidP="0028210F">
            <w:pPr>
              <w:pStyle w:val="ListBullet-2"/>
              <w:numPr>
                <w:ilvl w:val="0"/>
                <w:numId w:val="10"/>
              </w:numPr>
              <w:ind w:left="1077" w:hanging="357"/>
            </w:pPr>
            <w:r w:rsidRPr="007E2787">
              <w:t>the ‘design envelope’ and ‘operating envelope’ (including range of movement of the load) of the plant or equipment for which they are spotting</w:t>
            </w:r>
          </w:p>
          <w:p w14:paraId="1CD036ED" w14:textId="77777777" w:rsidR="0028210F" w:rsidRPr="007E2787" w:rsidRDefault="0028210F" w:rsidP="0028210F">
            <w:pPr>
              <w:pStyle w:val="ListBullet-2"/>
              <w:numPr>
                <w:ilvl w:val="0"/>
                <w:numId w:val="10"/>
              </w:numPr>
              <w:ind w:left="1077" w:hanging="357"/>
            </w:pPr>
            <w:r w:rsidRPr="007E2787">
              <w:t>clearance distances, the No Go Zones, permit zones, spotter zone and open area (no restrictions)</w:t>
            </w:r>
          </w:p>
          <w:p w14:paraId="7AD7D126" w14:textId="77777777" w:rsidR="0028210F" w:rsidRPr="007E2787" w:rsidRDefault="0028210F" w:rsidP="001F4826">
            <w:pPr>
              <w:pStyle w:val="ListBullet"/>
            </w:pPr>
            <w:r w:rsidRPr="007E2787">
              <w:t>techniques to locate underground assets to minimise the risk of inadvertent damage</w:t>
            </w:r>
          </w:p>
          <w:p w14:paraId="447FA1B4" w14:textId="77777777" w:rsidR="0028210F" w:rsidRPr="007E2787" w:rsidRDefault="0028210F" w:rsidP="001F4826">
            <w:pPr>
              <w:pStyle w:val="ListBullet"/>
            </w:pPr>
            <w:r w:rsidRPr="007E2787">
              <w:t>prestart safety activities and checks</w:t>
            </w:r>
          </w:p>
          <w:p w14:paraId="6F6B5CD1" w14:textId="77777777" w:rsidR="0028210F" w:rsidRPr="007E2787" w:rsidRDefault="0028210F" w:rsidP="001F4826">
            <w:pPr>
              <w:pStyle w:val="ListBullet"/>
            </w:pPr>
            <w:r w:rsidRPr="007E2787">
              <w:t>industry regulations and standards governing the limits of approach/No Go Zone, related to:</w:t>
            </w:r>
          </w:p>
          <w:p w14:paraId="04D4A362" w14:textId="77777777" w:rsidR="0028210F" w:rsidRPr="007E2787" w:rsidRDefault="0028210F" w:rsidP="0028210F">
            <w:pPr>
              <w:pStyle w:val="ListBullet-2"/>
              <w:numPr>
                <w:ilvl w:val="0"/>
                <w:numId w:val="10"/>
              </w:numPr>
              <w:ind w:left="1077" w:hanging="357"/>
            </w:pPr>
            <w:r w:rsidRPr="007E2787">
              <w:t>WorkSafe / Energy Safe Victoria (ESV) framework for undertaking work near overhead and underground assets</w:t>
            </w:r>
          </w:p>
          <w:p w14:paraId="6C8C97FA" w14:textId="77777777" w:rsidR="0028210F" w:rsidRPr="007E2787" w:rsidRDefault="0028210F" w:rsidP="0028210F">
            <w:pPr>
              <w:pStyle w:val="ListBullet-2"/>
              <w:numPr>
                <w:ilvl w:val="0"/>
                <w:numId w:val="10"/>
              </w:numPr>
              <w:ind w:left="1434" w:hanging="357"/>
            </w:pPr>
            <w:r w:rsidRPr="007E2787">
              <w:t>Deemed to Comply processes</w:t>
            </w:r>
          </w:p>
          <w:p w14:paraId="68AF468E" w14:textId="77777777" w:rsidR="0028210F" w:rsidRPr="007E2787" w:rsidRDefault="0028210F" w:rsidP="0028210F">
            <w:pPr>
              <w:pStyle w:val="ListBullet-2"/>
              <w:numPr>
                <w:ilvl w:val="0"/>
                <w:numId w:val="10"/>
              </w:numPr>
              <w:ind w:left="1077" w:hanging="357"/>
            </w:pPr>
            <w:r w:rsidRPr="007E2787">
              <w:t>current Australian Standards relating to:</w:t>
            </w:r>
          </w:p>
          <w:p w14:paraId="2732B5CA" w14:textId="77777777" w:rsidR="0028210F" w:rsidRPr="007E2787" w:rsidRDefault="0028210F" w:rsidP="0028210F">
            <w:pPr>
              <w:pStyle w:val="ListBullet-2"/>
              <w:numPr>
                <w:ilvl w:val="0"/>
                <w:numId w:val="10"/>
              </w:numPr>
              <w:ind w:left="1434" w:hanging="357"/>
            </w:pPr>
            <w:r w:rsidRPr="007E2787">
              <w:t>cranes and various subcodes</w:t>
            </w:r>
          </w:p>
          <w:p w14:paraId="5F74D80E" w14:textId="38354BA2" w:rsidR="0028210F" w:rsidRPr="007E2787" w:rsidRDefault="0028210F" w:rsidP="0028210F">
            <w:pPr>
              <w:pStyle w:val="ListBullet-2"/>
              <w:numPr>
                <w:ilvl w:val="0"/>
                <w:numId w:val="10"/>
              </w:numPr>
              <w:ind w:left="1434" w:hanging="357"/>
            </w:pPr>
            <w:r w:rsidRPr="007E2787">
              <w:t xml:space="preserve">underground service </w:t>
            </w:r>
            <w:r w:rsidR="0082392E" w:rsidRPr="007E2787">
              <w:t>identification</w:t>
            </w:r>
            <w:r w:rsidRPr="007E2787">
              <w:t xml:space="preserve"> tape colours</w:t>
            </w:r>
          </w:p>
          <w:p w14:paraId="20916A7A" w14:textId="77777777" w:rsidR="0028210F" w:rsidRPr="007E2787" w:rsidRDefault="0028210F" w:rsidP="0028210F">
            <w:pPr>
              <w:pStyle w:val="ListBullet-2"/>
              <w:numPr>
                <w:ilvl w:val="0"/>
                <w:numId w:val="10"/>
              </w:numPr>
              <w:ind w:left="1434" w:hanging="357"/>
            </w:pPr>
            <w:r w:rsidRPr="007E2787">
              <w:t>safety signs for the occupational environment</w:t>
            </w:r>
          </w:p>
          <w:p w14:paraId="05AE988D" w14:textId="77777777" w:rsidR="0028210F" w:rsidRPr="007E2787" w:rsidRDefault="0028210F" w:rsidP="0028210F">
            <w:pPr>
              <w:pStyle w:val="ListBullet-2"/>
              <w:numPr>
                <w:ilvl w:val="0"/>
                <w:numId w:val="10"/>
              </w:numPr>
              <w:ind w:left="1077" w:hanging="357"/>
            </w:pPr>
            <w:r w:rsidRPr="007E2787">
              <w:t>Electrical Safety Act 1998</w:t>
            </w:r>
          </w:p>
          <w:p w14:paraId="161EFE9D" w14:textId="77777777" w:rsidR="0028210F" w:rsidRPr="007E2787" w:rsidRDefault="0028210F" w:rsidP="0028210F">
            <w:pPr>
              <w:pStyle w:val="ListBullet-2"/>
              <w:numPr>
                <w:ilvl w:val="0"/>
                <w:numId w:val="10"/>
              </w:numPr>
              <w:ind w:left="1077" w:hanging="357"/>
            </w:pPr>
            <w:r w:rsidRPr="007E2787">
              <w:t>Electrical Safety (Installations) Regulations 2009</w:t>
            </w:r>
          </w:p>
          <w:p w14:paraId="3E1A9903" w14:textId="77777777" w:rsidR="0028210F" w:rsidRPr="007E2787" w:rsidRDefault="0028210F" w:rsidP="0028210F">
            <w:pPr>
              <w:pStyle w:val="ListBullet-2"/>
              <w:numPr>
                <w:ilvl w:val="0"/>
                <w:numId w:val="10"/>
              </w:numPr>
              <w:ind w:left="1077" w:hanging="357"/>
            </w:pPr>
            <w:r w:rsidRPr="007E2787">
              <w:t xml:space="preserve">Occupational and Workplace Health and Safety Acts </w:t>
            </w:r>
          </w:p>
          <w:p w14:paraId="1D6CE8F9" w14:textId="77777777" w:rsidR="0028210F" w:rsidRPr="007E2787" w:rsidRDefault="0028210F" w:rsidP="0028210F">
            <w:pPr>
              <w:pStyle w:val="ListBullet-2"/>
              <w:numPr>
                <w:ilvl w:val="0"/>
                <w:numId w:val="10"/>
              </w:numPr>
              <w:ind w:left="1077" w:hanging="357"/>
            </w:pPr>
            <w:r w:rsidRPr="007E2787">
              <w:t>Gas Safety Act 1997</w:t>
            </w:r>
          </w:p>
          <w:p w14:paraId="76326CF9" w14:textId="77777777" w:rsidR="0028210F" w:rsidRPr="007E2787" w:rsidRDefault="0028210F" w:rsidP="0028210F">
            <w:pPr>
              <w:pStyle w:val="ListBullet-2"/>
              <w:numPr>
                <w:ilvl w:val="0"/>
                <w:numId w:val="10"/>
              </w:numPr>
              <w:ind w:left="1077" w:hanging="357"/>
            </w:pPr>
            <w:r w:rsidRPr="007E2787">
              <w:t>Telecommunications Act 1997</w:t>
            </w:r>
          </w:p>
          <w:p w14:paraId="078B8878" w14:textId="77777777" w:rsidR="0028210F" w:rsidRPr="007E2787" w:rsidRDefault="0028210F" w:rsidP="0028210F">
            <w:pPr>
              <w:pStyle w:val="ListBullet-2"/>
              <w:numPr>
                <w:ilvl w:val="0"/>
                <w:numId w:val="10"/>
              </w:numPr>
              <w:ind w:left="1077" w:hanging="357"/>
            </w:pPr>
            <w:r w:rsidRPr="007E2787">
              <w:t>other legislation as appropriate</w:t>
            </w:r>
          </w:p>
          <w:p w14:paraId="0EFF0863" w14:textId="77777777" w:rsidR="0028210F" w:rsidRPr="007E2787" w:rsidRDefault="0028210F" w:rsidP="001F4826">
            <w:pPr>
              <w:pStyle w:val="ListBullet"/>
            </w:pPr>
            <w:r w:rsidRPr="007E2787">
              <w:t>general hazard types including:</w:t>
            </w:r>
          </w:p>
          <w:p w14:paraId="68F1788E" w14:textId="77777777" w:rsidR="0028210F" w:rsidRPr="007E2787" w:rsidRDefault="0028210F" w:rsidP="0028210F">
            <w:pPr>
              <w:pStyle w:val="ListBullet-2"/>
              <w:numPr>
                <w:ilvl w:val="0"/>
                <w:numId w:val="10"/>
              </w:numPr>
              <w:ind w:left="1077" w:hanging="357"/>
            </w:pPr>
            <w:r w:rsidRPr="007E2787">
              <w:t>a source which has the potential to cause illness, injury, damage or disruption to work</w:t>
            </w:r>
          </w:p>
          <w:p w14:paraId="12AAE171" w14:textId="77777777" w:rsidR="0028210F" w:rsidRPr="007E2787" w:rsidRDefault="0028210F" w:rsidP="0028210F">
            <w:pPr>
              <w:pStyle w:val="ListBullet-2"/>
              <w:numPr>
                <w:ilvl w:val="0"/>
                <w:numId w:val="10"/>
              </w:numPr>
              <w:ind w:left="1077" w:hanging="357"/>
            </w:pPr>
            <w:r w:rsidRPr="007E2787">
              <w:t>a condition when plant or equipment comes close to an electrical conductor so as to contact it or cause arcing to occur resulting in earthing of the electrical supply to the ground.</w:t>
            </w:r>
          </w:p>
          <w:p w14:paraId="40975736" w14:textId="77777777" w:rsidR="0028210F" w:rsidRPr="007E2787" w:rsidRDefault="0028210F" w:rsidP="001F4826">
            <w:pPr>
              <w:pStyle w:val="ListBullet"/>
            </w:pPr>
            <w:r w:rsidRPr="007E2787">
              <w:t>Occupational / workplace health and safety and equipment requirements:</w:t>
            </w:r>
          </w:p>
          <w:p w14:paraId="08F97E13" w14:textId="77777777" w:rsidR="0028210F" w:rsidRPr="007E2787" w:rsidRDefault="0028210F" w:rsidP="0028210F">
            <w:pPr>
              <w:pStyle w:val="ListBullet-2"/>
              <w:numPr>
                <w:ilvl w:val="0"/>
                <w:numId w:val="10"/>
              </w:numPr>
              <w:ind w:left="1077" w:hanging="357"/>
            </w:pPr>
            <w:r w:rsidRPr="007E2787">
              <w:t>occupational health and safety site specific requirements</w:t>
            </w:r>
          </w:p>
          <w:p w14:paraId="66664F01" w14:textId="77777777" w:rsidR="0028210F" w:rsidRPr="007E2787" w:rsidRDefault="0028210F" w:rsidP="0028210F">
            <w:pPr>
              <w:pStyle w:val="ListBullet-2"/>
              <w:numPr>
                <w:ilvl w:val="0"/>
                <w:numId w:val="10"/>
              </w:numPr>
              <w:ind w:left="1077" w:hanging="357"/>
            </w:pPr>
            <w:r w:rsidRPr="007E2787">
              <w:t>hazard identification and risk minimisation</w:t>
            </w:r>
          </w:p>
          <w:p w14:paraId="7DF1CABA" w14:textId="77777777" w:rsidR="0028210F" w:rsidRPr="007E2787" w:rsidRDefault="0028210F" w:rsidP="0028210F">
            <w:pPr>
              <w:pStyle w:val="ListBullet-2"/>
              <w:numPr>
                <w:ilvl w:val="0"/>
                <w:numId w:val="10"/>
              </w:numPr>
              <w:ind w:left="1077" w:hanging="357"/>
            </w:pPr>
            <w:r w:rsidRPr="007E2787">
              <w:t>the No Go Zones system of control for plant and equipment working around overhead and underground assets as identified in the ‘No Go Zones’ framework document</w:t>
            </w:r>
          </w:p>
          <w:p w14:paraId="3FFB3AF4" w14:textId="77777777" w:rsidR="0028210F" w:rsidRPr="007E2787" w:rsidRDefault="0028210F" w:rsidP="0028210F">
            <w:pPr>
              <w:pStyle w:val="ListBullet-2"/>
              <w:numPr>
                <w:ilvl w:val="0"/>
                <w:numId w:val="10"/>
              </w:numPr>
              <w:ind w:left="1077" w:hanging="357"/>
            </w:pPr>
            <w:r w:rsidRPr="007E2787">
              <w:t>fitting and use of PPE</w:t>
            </w:r>
          </w:p>
          <w:p w14:paraId="2411865F" w14:textId="77777777" w:rsidR="0028210F" w:rsidRPr="007E2787" w:rsidRDefault="0028210F" w:rsidP="0028210F">
            <w:pPr>
              <w:pStyle w:val="ListBullet-2"/>
              <w:numPr>
                <w:ilvl w:val="0"/>
                <w:numId w:val="10"/>
              </w:numPr>
              <w:ind w:left="1077" w:hanging="357"/>
            </w:pPr>
            <w:r w:rsidRPr="007E2787">
              <w:t>measuring equipment and techniques</w:t>
            </w:r>
          </w:p>
          <w:p w14:paraId="4F5CBB49" w14:textId="77777777" w:rsidR="0028210F" w:rsidRPr="007E2787" w:rsidRDefault="0028210F" w:rsidP="001F4826">
            <w:pPr>
              <w:pStyle w:val="ListBullet"/>
            </w:pPr>
            <w:r w:rsidRPr="007E2787">
              <w:rPr>
                <w:lang w:eastAsia="en-AU"/>
              </w:rPr>
              <w:t>types of personal protective equipment (PPE) including</w:t>
            </w:r>
            <w:r w:rsidRPr="007E2787">
              <w:t>:</w:t>
            </w:r>
          </w:p>
          <w:p w14:paraId="3389B204" w14:textId="77777777" w:rsidR="0028210F" w:rsidRPr="007E2787" w:rsidRDefault="0028210F" w:rsidP="0028210F">
            <w:pPr>
              <w:pStyle w:val="ListBullet-2"/>
              <w:numPr>
                <w:ilvl w:val="0"/>
                <w:numId w:val="10"/>
              </w:numPr>
              <w:ind w:left="1077" w:hanging="357"/>
            </w:pPr>
            <w:r w:rsidRPr="007E2787">
              <w:t>head protection</w:t>
            </w:r>
          </w:p>
          <w:p w14:paraId="447F1CC5" w14:textId="77777777" w:rsidR="0028210F" w:rsidRPr="007E2787" w:rsidRDefault="0028210F" w:rsidP="0028210F">
            <w:pPr>
              <w:pStyle w:val="ListBullet-2"/>
              <w:numPr>
                <w:ilvl w:val="0"/>
                <w:numId w:val="10"/>
              </w:numPr>
              <w:ind w:left="1077" w:hanging="357"/>
            </w:pPr>
            <w:r w:rsidRPr="007E2787">
              <w:t>foot protection:</w:t>
            </w:r>
          </w:p>
          <w:p w14:paraId="5B7F78D2" w14:textId="77777777" w:rsidR="0028210F" w:rsidRPr="007E2787" w:rsidRDefault="0028210F" w:rsidP="0028210F">
            <w:pPr>
              <w:pStyle w:val="ListBullet-2"/>
              <w:numPr>
                <w:ilvl w:val="0"/>
                <w:numId w:val="10"/>
              </w:numPr>
              <w:ind w:left="1434" w:hanging="357"/>
            </w:pPr>
            <w:r w:rsidRPr="007E2787">
              <w:t>steel capped boots</w:t>
            </w:r>
          </w:p>
          <w:p w14:paraId="444B0687" w14:textId="77777777" w:rsidR="0028210F" w:rsidRPr="007E2787" w:rsidRDefault="0028210F" w:rsidP="0028210F">
            <w:pPr>
              <w:pStyle w:val="ListBullet-2"/>
              <w:numPr>
                <w:ilvl w:val="0"/>
                <w:numId w:val="10"/>
              </w:numPr>
              <w:ind w:left="1434" w:hanging="357"/>
            </w:pPr>
            <w:r w:rsidRPr="007E2787">
              <w:t>rubber soled boots</w:t>
            </w:r>
          </w:p>
          <w:p w14:paraId="0D4634A6" w14:textId="77777777" w:rsidR="0028210F" w:rsidRPr="007E2787" w:rsidRDefault="0028210F" w:rsidP="0028210F">
            <w:pPr>
              <w:pStyle w:val="ListBullet-2"/>
              <w:numPr>
                <w:ilvl w:val="0"/>
                <w:numId w:val="10"/>
              </w:numPr>
              <w:ind w:left="1434" w:hanging="357"/>
            </w:pPr>
            <w:r w:rsidRPr="007E2787">
              <w:t>steel capped rubber boots</w:t>
            </w:r>
          </w:p>
          <w:p w14:paraId="595E8258" w14:textId="77777777" w:rsidR="0028210F" w:rsidRPr="007E2787" w:rsidRDefault="0028210F" w:rsidP="0028210F">
            <w:pPr>
              <w:pStyle w:val="ListBullet-2"/>
              <w:numPr>
                <w:ilvl w:val="0"/>
                <w:numId w:val="10"/>
              </w:numPr>
              <w:ind w:left="1077" w:hanging="357"/>
            </w:pPr>
            <w:r w:rsidRPr="007E2787">
              <w:t>high visibility vest</w:t>
            </w:r>
          </w:p>
          <w:p w14:paraId="19BB5319" w14:textId="77777777" w:rsidR="0028210F" w:rsidRPr="007E2787" w:rsidRDefault="0028210F" w:rsidP="0028210F">
            <w:pPr>
              <w:pStyle w:val="ListBullet-2"/>
              <w:numPr>
                <w:ilvl w:val="0"/>
                <w:numId w:val="10"/>
              </w:numPr>
              <w:ind w:left="1077" w:hanging="357"/>
            </w:pPr>
            <w:r w:rsidRPr="007E2787">
              <w:t>hearing protection</w:t>
            </w:r>
          </w:p>
          <w:p w14:paraId="426F937D" w14:textId="77777777" w:rsidR="0028210F" w:rsidRPr="007E2787" w:rsidRDefault="0028210F" w:rsidP="0028210F">
            <w:pPr>
              <w:pStyle w:val="ListBullet-2"/>
              <w:numPr>
                <w:ilvl w:val="0"/>
                <w:numId w:val="10"/>
              </w:numPr>
              <w:ind w:left="1077" w:hanging="357"/>
            </w:pPr>
            <w:r w:rsidRPr="007E2787">
              <w:t>dust protection (eyes or breathing)</w:t>
            </w:r>
          </w:p>
          <w:p w14:paraId="4D79FF19" w14:textId="77777777" w:rsidR="0028210F" w:rsidRPr="007E2787" w:rsidRDefault="0028210F" w:rsidP="0028210F">
            <w:pPr>
              <w:pStyle w:val="ListBullet-2"/>
              <w:numPr>
                <w:ilvl w:val="0"/>
                <w:numId w:val="10"/>
              </w:numPr>
              <w:ind w:left="1077" w:hanging="357"/>
            </w:pPr>
            <w:r w:rsidRPr="007E2787">
              <w:t>protection from the elements</w:t>
            </w:r>
          </w:p>
          <w:p w14:paraId="5C3C3002" w14:textId="77777777" w:rsidR="0028210F" w:rsidRPr="007E2787" w:rsidRDefault="0028210F" w:rsidP="0028210F">
            <w:pPr>
              <w:pStyle w:val="ListBullet-2"/>
              <w:numPr>
                <w:ilvl w:val="0"/>
                <w:numId w:val="10"/>
              </w:numPr>
              <w:ind w:left="1077" w:hanging="357"/>
            </w:pPr>
            <w:r w:rsidRPr="007E2787">
              <w:t>Ultraviolet (UV) protection</w:t>
            </w:r>
          </w:p>
          <w:p w14:paraId="0C0A92F9" w14:textId="77777777" w:rsidR="0028210F" w:rsidRPr="007E2787" w:rsidRDefault="0028210F" w:rsidP="0028210F">
            <w:pPr>
              <w:pStyle w:val="ListBullet-2"/>
              <w:numPr>
                <w:ilvl w:val="0"/>
                <w:numId w:val="10"/>
              </w:numPr>
              <w:ind w:left="1077" w:hanging="357"/>
            </w:pPr>
            <w:r w:rsidRPr="007E2787">
              <w:t>sun glare protection</w:t>
            </w:r>
          </w:p>
          <w:p w14:paraId="0CB5108F" w14:textId="77777777" w:rsidR="0028210F" w:rsidRPr="007E2787" w:rsidRDefault="0028210F" w:rsidP="0028210F">
            <w:pPr>
              <w:pStyle w:val="ListBullet-2"/>
              <w:numPr>
                <w:ilvl w:val="0"/>
                <w:numId w:val="10"/>
              </w:numPr>
              <w:ind w:left="1077" w:hanging="357"/>
            </w:pPr>
            <w:r w:rsidRPr="007E2787">
              <w:t>safety glass or goggles (depending on site requirements).</w:t>
            </w:r>
          </w:p>
          <w:p w14:paraId="1948F6F9" w14:textId="77777777" w:rsidR="0028210F" w:rsidRPr="007E2787" w:rsidRDefault="0028210F" w:rsidP="0028210F">
            <w:pPr>
              <w:pStyle w:val="ListBullet-2"/>
              <w:numPr>
                <w:ilvl w:val="0"/>
                <w:numId w:val="10"/>
              </w:numPr>
              <w:ind w:left="1077" w:hanging="357"/>
            </w:pPr>
            <w:r w:rsidRPr="007E2787">
              <w:t>first aid equipment appropriate to the requirements of the first aid competency required as a spotter, i.e. gloves, resuscitation mask/shield</w:t>
            </w:r>
          </w:p>
          <w:p w14:paraId="1F376AB4" w14:textId="77777777" w:rsidR="0028210F" w:rsidRPr="007E2787" w:rsidRDefault="0028210F" w:rsidP="0028210F">
            <w:pPr>
              <w:pStyle w:val="ListBullet-2"/>
              <w:numPr>
                <w:ilvl w:val="0"/>
                <w:numId w:val="10"/>
              </w:numPr>
              <w:ind w:left="1077" w:hanging="357"/>
            </w:pPr>
            <w:r w:rsidRPr="007E2787">
              <w:t>clothing appropriate to the environment in which the spotting is being undertaken depending on site requirements and protection required</w:t>
            </w:r>
          </w:p>
          <w:p w14:paraId="2C05305E" w14:textId="77777777" w:rsidR="0028210F" w:rsidRPr="007E2787" w:rsidRDefault="0028210F" w:rsidP="0028210F">
            <w:pPr>
              <w:pStyle w:val="ListBullet-2"/>
              <w:numPr>
                <w:ilvl w:val="0"/>
                <w:numId w:val="10"/>
              </w:numPr>
              <w:ind w:left="1077" w:hanging="357"/>
            </w:pPr>
            <w:r w:rsidRPr="007E2787">
              <w:t>other items appropriate to the environment</w:t>
            </w:r>
          </w:p>
          <w:p w14:paraId="5E1D49BB" w14:textId="77777777" w:rsidR="0028210F" w:rsidRPr="007E2787" w:rsidRDefault="0028210F" w:rsidP="001F4826">
            <w:pPr>
              <w:pStyle w:val="ListBullet"/>
            </w:pPr>
            <w:r w:rsidRPr="007E2787">
              <w:t>types of communication equipment including:</w:t>
            </w:r>
          </w:p>
          <w:p w14:paraId="24A284FE" w14:textId="77777777" w:rsidR="0028210F" w:rsidRPr="007E2787" w:rsidRDefault="0028210F" w:rsidP="0028210F">
            <w:pPr>
              <w:pStyle w:val="ListBullet-2"/>
              <w:numPr>
                <w:ilvl w:val="0"/>
                <w:numId w:val="10"/>
              </w:numPr>
              <w:ind w:left="1077" w:hanging="357"/>
            </w:pPr>
            <w:r w:rsidRPr="007E2787">
              <w:t>whistle</w:t>
            </w:r>
          </w:p>
          <w:p w14:paraId="09D4D9FF" w14:textId="77777777" w:rsidR="0028210F" w:rsidRPr="007E2787" w:rsidRDefault="0028210F" w:rsidP="0028210F">
            <w:pPr>
              <w:pStyle w:val="ListBullet-2"/>
              <w:numPr>
                <w:ilvl w:val="0"/>
                <w:numId w:val="10"/>
              </w:numPr>
              <w:ind w:left="1077" w:hanging="357"/>
            </w:pPr>
            <w:r w:rsidRPr="007E2787">
              <w:t>two-way radio</w:t>
            </w:r>
          </w:p>
          <w:p w14:paraId="45BBB752" w14:textId="77777777" w:rsidR="0028210F" w:rsidRPr="007E2787" w:rsidRDefault="0028210F" w:rsidP="0028210F">
            <w:pPr>
              <w:pStyle w:val="ListBullet-2"/>
              <w:numPr>
                <w:ilvl w:val="0"/>
                <w:numId w:val="10"/>
              </w:numPr>
              <w:ind w:left="1077" w:hanging="357"/>
            </w:pPr>
            <w:r w:rsidRPr="007E2787">
              <w:t>air horn</w:t>
            </w:r>
          </w:p>
          <w:p w14:paraId="4D749AA8" w14:textId="77777777" w:rsidR="0028210F" w:rsidRPr="007E2787" w:rsidRDefault="0028210F" w:rsidP="0028210F">
            <w:pPr>
              <w:pStyle w:val="ListBullet-2"/>
              <w:numPr>
                <w:ilvl w:val="0"/>
                <w:numId w:val="10"/>
              </w:numPr>
              <w:ind w:left="1077" w:hanging="357"/>
            </w:pPr>
            <w:r w:rsidRPr="007E2787">
              <w:t>mobile phone</w:t>
            </w:r>
          </w:p>
          <w:p w14:paraId="0D5DFF05" w14:textId="77777777" w:rsidR="0028210F" w:rsidRPr="007E2787" w:rsidRDefault="0028210F" w:rsidP="0028210F">
            <w:pPr>
              <w:pStyle w:val="ListBullet-2"/>
              <w:numPr>
                <w:ilvl w:val="0"/>
                <w:numId w:val="10"/>
              </w:numPr>
              <w:ind w:left="1077" w:hanging="357"/>
            </w:pPr>
            <w:r w:rsidRPr="007E2787">
              <w:t>stop/ slow bat</w:t>
            </w:r>
          </w:p>
          <w:p w14:paraId="6A0D0A14" w14:textId="77777777" w:rsidR="0028210F" w:rsidRPr="007E2787" w:rsidRDefault="0028210F" w:rsidP="0028210F">
            <w:pPr>
              <w:pStyle w:val="ListBullet-2"/>
              <w:numPr>
                <w:ilvl w:val="0"/>
                <w:numId w:val="10"/>
              </w:numPr>
              <w:ind w:left="1077" w:hanging="357"/>
            </w:pPr>
            <w:r w:rsidRPr="007E2787">
              <w:t>torch</w:t>
            </w:r>
          </w:p>
          <w:p w14:paraId="11488200" w14:textId="77777777" w:rsidR="0028210F" w:rsidRPr="007E2787" w:rsidRDefault="0028210F" w:rsidP="0028210F">
            <w:pPr>
              <w:pStyle w:val="ListBullet-2"/>
              <w:numPr>
                <w:ilvl w:val="0"/>
                <w:numId w:val="10"/>
              </w:numPr>
              <w:ind w:left="1077" w:hanging="357"/>
            </w:pPr>
            <w:r w:rsidRPr="007E2787">
              <w:t>flag</w:t>
            </w:r>
          </w:p>
          <w:p w14:paraId="25B00096" w14:textId="77777777" w:rsidR="0028210F" w:rsidRPr="007E2787" w:rsidRDefault="0028210F" w:rsidP="001F4826">
            <w:pPr>
              <w:pStyle w:val="ListBullet"/>
            </w:pPr>
            <w:r w:rsidRPr="007E2787">
              <w:t>methods of communication signalling including:</w:t>
            </w:r>
          </w:p>
          <w:p w14:paraId="6C133203" w14:textId="77777777" w:rsidR="0028210F" w:rsidRPr="007E2787" w:rsidRDefault="0028210F" w:rsidP="0028210F">
            <w:pPr>
              <w:pStyle w:val="ListBullet-2"/>
              <w:numPr>
                <w:ilvl w:val="0"/>
                <w:numId w:val="10"/>
              </w:numPr>
              <w:ind w:left="1077" w:hanging="357"/>
            </w:pPr>
            <w:r w:rsidRPr="007E2787">
              <w:t>visual:</w:t>
            </w:r>
          </w:p>
          <w:p w14:paraId="37728DC8" w14:textId="77777777" w:rsidR="0028210F" w:rsidRPr="007E2787" w:rsidRDefault="0028210F" w:rsidP="0028210F">
            <w:pPr>
              <w:pStyle w:val="ListBullet-2"/>
              <w:numPr>
                <w:ilvl w:val="0"/>
                <w:numId w:val="10"/>
              </w:numPr>
              <w:ind w:left="1434" w:hanging="357"/>
            </w:pPr>
            <w:r w:rsidRPr="007E2787">
              <w:t>hand signals</w:t>
            </w:r>
          </w:p>
          <w:p w14:paraId="40B612B0" w14:textId="77777777" w:rsidR="0028210F" w:rsidRPr="007E2787" w:rsidRDefault="0028210F" w:rsidP="0028210F">
            <w:pPr>
              <w:pStyle w:val="ListBullet-2"/>
              <w:numPr>
                <w:ilvl w:val="0"/>
                <w:numId w:val="10"/>
              </w:numPr>
              <w:ind w:left="1434" w:hanging="357"/>
            </w:pPr>
            <w:r w:rsidRPr="007E2787">
              <w:t>signage</w:t>
            </w:r>
          </w:p>
          <w:p w14:paraId="23F7CC65" w14:textId="77777777" w:rsidR="0028210F" w:rsidRPr="007E2787" w:rsidRDefault="0028210F" w:rsidP="0028210F">
            <w:pPr>
              <w:pStyle w:val="ListBullet-2"/>
              <w:numPr>
                <w:ilvl w:val="0"/>
                <w:numId w:val="10"/>
              </w:numPr>
              <w:ind w:left="1434" w:hanging="357"/>
            </w:pPr>
            <w:r w:rsidRPr="007E2787">
              <w:t>light</w:t>
            </w:r>
          </w:p>
          <w:p w14:paraId="74690C17" w14:textId="77777777" w:rsidR="0028210F" w:rsidRPr="007E2787" w:rsidRDefault="0028210F" w:rsidP="0028210F">
            <w:pPr>
              <w:pStyle w:val="ListBullet-2"/>
              <w:numPr>
                <w:ilvl w:val="0"/>
                <w:numId w:val="10"/>
              </w:numPr>
              <w:ind w:left="1077" w:hanging="357"/>
            </w:pPr>
            <w:r w:rsidRPr="007E2787">
              <w:t>auditory</w:t>
            </w:r>
          </w:p>
          <w:p w14:paraId="7D01C08B" w14:textId="77777777" w:rsidR="0028210F" w:rsidRPr="007E2787" w:rsidRDefault="0028210F" w:rsidP="001F4826">
            <w:pPr>
              <w:pStyle w:val="ListBullet"/>
            </w:pPr>
            <w:r w:rsidRPr="007E2787">
              <w:t>types of measuring equipment and techniques such as:</w:t>
            </w:r>
          </w:p>
          <w:p w14:paraId="47448DCE" w14:textId="77777777" w:rsidR="0028210F" w:rsidRPr="007E2787" w:rsidRDefault="0028210F" w:rsidP="0028210F">
            <w:pPr>
              <w:pStyle w:val="ListBullet-2"/>
              <w:numPr>
                <w:ilvl w:val="0"/>
                <w:numId w:val="10"/>
              </w:numPr>
              <w:ind w:left="1077" w:hanging="357"/>
            </w:pPr>
            <w:r w:rsidRPr="007E2787">
              <w:t>distance / target finder</w:t>
            </w:r>
          </w:p>
          <w:p w14:paraId="2C00F4AC" w14:textId="77777777" w:rsidR="0028210F" w:rsidRPr="007E2787" w:rsidRDefault="0028210F" w:rsidP="0028210F">
            <w:pPr>
              <w:pStyle w:val="ListBullet-2"/>
              <w:numPr>
                <w:ilvl w:val="0"/>
                <w:numId w:val="10"/>
              </w:numPr>
              <w:ind w:left="1077" w:hanging="357"/>
            </w:pPr>
            <w:r w:rsidRPr="007E2787">
              <w:t>industry standard practices in calculating distances</w:t>
            </w:r>
          </w:p>
          <w:p w14:paraId="3BB74659" w14:textId="77777777" w:rsidR="0028210F" w:rsidRPr="007E2787" w:rsidRDefault="0028210F" w:rsidP="0028210F">
            <w:pPr>
              <w:pStyle w:val="ListBullet-2"/>
              <w:numPr>
                <w:ilvl w:val="0"/>
                <w:numId w:val="10"/>
              </w:numPr>
              <w:ind w:left="1077" w:hanging="357"/>
            </w:pPr>
            <w:r w:rsidRPr="007E2787">
              <w:t>using trained personnel to operate laser or other suitable measuring equipment to assist the spotter</w:t>
            </w:r>
          </w:p>
          <w:p w14:paraId="01129256" w14:textId="77777777" w:rsidR="0028210F" w:rsidRPr="007E2787" w:rsidRDefault="0028210F" w:rsidP="001F4826">
            <w:pPr>
              <w:pStyle w:val="ListBullet"/>
            </w:pPr>
            <w:r w:rsidRPr="007E2787">
              <w:t>job site safety and risk documentation to ensure compliance of the health and safety of work site personnel, the public and the wider environment whilst spotting for plant and equipment around overhead and underground assets, including job documentation such as:</w:t>
            </w:r>
          </w:p>
          <w:p w14:paraId="4084A417" w14:textId="77777777" w:rsidR="0028210F" w:rsidRPr="007E2787" w:rsidRDefault="0028210F" w:rsidP="0028210F">
            <w:pPr>
              <w:pStyle w:val="ListBullet-2"/>
              <w:numPr>
                <w:ilvl w:val="0"/>
                <w:numId w:val="10"/>
              </w:numPr>
              <w:ind w:left="1077" w:hanging="357"/>
            </w:pPr>
            <w:r w:rsidRPr="007E2787">
              <w:t>site plan and site specifications / mud map</w:t>
            </w:r>
          </w:p>
          <w:p w14:paraId="3B97DEB3" w14:textId="77777777" w:rsidR="0028210F" w:rsidRPr="007E2787" w:rsidRDefault="0028210F" w:rsidP="0028210F">
            <w:pPr>
              <w:pStyle w:val="ListBullet-2"/>
              <w:numPr>
                <w:ilvl w:val="0"/>
                <w:numId w:val="10"/>
              </w:numPr>
              <w:ind w:left="1077" w:hanging="357"/>
            </w:pPr>
            <w:r w:rsidRPr="007E2787">
              <w:t>permit documentation, including permit to work and private asset owner documentation</w:t>
            </w:r>
          </w:p>
          <w:p w14:paraId="4C473DE3" w14:textId="77777777" w:rsidR="0028210F" w:rsidRPr="007E2787" w:rsidRDefault="0028210F" w:rsidP="0028210F">
            <w:pPr>
              <w:pStyle w:val="ListBullet-2"/>
              <w:numPr>
                <w:ilvl w:val="0"/>
                <w:numId w:val="10"/>
              </w:numPr>
              <w:ind w:left="1077" w:hanging="357"/>
            </w:pPr>
            <w:r w:rsidRPr="007E2787">
              <w:t>safety assessments</w:t>
            </w:r>
          </w:p>
          <w:p w14:paraId="641E0488" w14:textId="77777777" w:rsidR="0028210F" w:rsidRPr="007E2787" w:rsidRDefault="0028210F" w:rsidP="0028210F">
            <w:pPr>
              <w:pStyle w:val="ListBullet-2"/>
              <w:numPr>
                <w:ilvl w:val="0"/>
                <w:numId w:val="10"/>
              </w:numPr>
              <w:ind w:left="1077" w:hanging="357"/>
            </w:pPr>
            <w:r w:rsidRPr="007E2787">
              <w:t>council permits</w:t>
            </w:r>
          </w:p>
          <w:p w14:paraId="6EA0B1CA" w14:textId="77777777" w:rsidR="0028210F" w:rsidRPr="007E2787" w:rsidRDefault="0028210F" w:rsidP="0028210F">
            <w:pPr>
              <w:pStyle w:val="ListBullet-2"/>
              <w:numPr>
                <w:ilvl w:val="0"/>
                <w:numId w:val="10"/>
              </w:numPr>
              <w:ind w:left="1077" w:hanging="357"/>
            </w:pPr>
            <w:r w:rsidRPr="007E2787">
              <w:t>asset authority and permits (Dial Before You Dig / Before You Dig Australia)</w:t>
            </w:r>
          </w:p>
          <w:p w14:paraId="25D1912A" w14:textId="77777777" w:rsidR="0028210F" w:rsidRPr="007E2787" w:rsidRDefault="0028210F" w:rsidP="0028210F">
            <w:pPr>
              <w:pStyle w:val="ListBullet-2"/>
              <w:numPr>
                <w:ilvl w:val="0"/>
                <w:numId w:val="10"/>
              </w:numPr>
              <w:ind w:left="1077" w:hanging="357"/>
            </w:pPr>
            <w:r w:rsidRPr="007E2787">
              <w:t>Safe Work Method Statement for High Risk Construction Work (SWMS) / Job Safety Analysis (JSA)</w:t>
            </w:r>
          </w:p>
          <w:p w14:paraId="73BAB89E" w14:textId="77777777" w:rsidR="0028210F" w:rsidRPr="007E2787" w:rsidRDefault="0028210F" w:rsidP="001F4826">
            <w:pPr>
              <w:pStyle w:val="ListBullet"/>
            </w:pPr>
            <w:r w:rsidRPr="007E2787">
              <w:t>plans, specifications, documentation and drawings:</w:t>
            </w:r>
          </w:p>
          <w:p w14:paraId="5D4986B9" w14:textId="77777777" w:rsidR="0028210F" w:rsidRPr="007E2787" w:rsidRDefault="0028210F" w:rsidP="0028210F">
            <w:pPr>
              <w:pStyle w:val="ListBullet-2"/>
              <w:numPr>
                <w:ilvl w:val="0"/>
                <w:numId w:val="10"/>
              </w:numPr>
              <w:ind w:left="1077" w:hanging="357"/>
            </w:pPr>
            <w:r w:rsidRPr="007E2787">
              <w:t>operational procedures to employ when inconsistencies arise between “permit to work”/site documentation and the physical characteristics of the site.</w:t>
            </w:r>
          </w:p>
          <w:p w14:paraId="68C254D3" w14:textId="77777777" w:rsidR="0028210F" w:rsidRPr="007E2787" w:rsidRDefault="0028210F" w:rsidP="001F4826">
            <w:pPr>
              <w:pStyle w:val="ListBullet"/>
            </w:pPr>
            <w:r w:rsidRPr="007E2787">
              <w:t>emergency procedures relevant to a range of service asset types.</w:t>
            </w:r>
          </w:p>
        </w:tc>
      </w:tr>
      <w:tr w:rsidR="0028210F" w:rsidRPr="00371AA5" w14:paraId="0A74144A" w14:textId="77777777" w:rsidTr="001F4826">
        <w:tc>
          <w:tcPr>
            <w:tcW w:w="2764" w:type="dxa"/>
            <w:shd w:val="clear" w:color="auto" w:fill="auto"/>
          </w:tcPr>
          <w:p w14:paraId="7CF0AE6D" w14:textId="77777777" w:rsidR="0028210F" w:rsidRPr="00DA2EE5" w:rsidRDefault="0028210F" w:rsidP="0082392E">
            <w:pPr>
              <w:pStyle w:val="Bold"/>
              <w:rPr>
                <w:szCs w:val="22"/>
              </w:rPr>
            </w:pPr>
            <w:r w:rsidRPr="00DA2EE5">
              <w:t>ASSESSMENT CONDITIONS</w:t>
            </w:r>
          </w:p>
        </w:tc>
        <w:tc>
          <w:tcPr>
            <w:tcW w:w="6592" w:type="dxa"/>
            <w:shd w:val="clear" w:color="auto" w:fill="auto"/>
          </w:tcPr>
          <w:p w14:paraId="3860965E" w14:textId="77777777" w:rsidR="0028210F" w:rsidRPr="00C20A40" w:rsidRDefault="0028210F" w:rsidP="0082392E">
            <w:pPr>
              <w:pStyle w:val="Bodycopy"/>
            </w:pPr>
            <w:r w:rsidRPr="00C20A40">
              <w:t>Skills in this unit must be demonstrated in a realistically simulated environment.</w:t>
            </w:r>
          </w:p>
          <w:p w14:paraId="6C756DFC" w14:textId="55E18C3F" w:rsidR="0028210F" w:rsidRPr="002113D3" w:rsidRDefault="0028210F" w:rsidP="0082392E">
            <w:pPr>
              <w:pStyle w:val="Bodycopy"/>
              <w:numPr>
                <w:ilvl w:val="0"/>
                <w:numId w:val="12"/>
              </w:numPr>
            </w:pPr>
            <w:r w:rsidRPr="002113D3">
              <w:t xml:space="preserve">Assessment of essential underpinning knowledge, other than </w:t>
            </w:r>
            <w:r w:rsidR="0082392E" w:rsidRPr="002113D3">
              <w:t>confirmatory</w:t>
            </w:r>
            <w:r w:rsidRPr="002113D3">
              <w:t xml:space="preserve"> questions, will usually be conducted in an off-site face-to-face classroom context.</w:t>
            </w:r>
          </w:p>
          <w:p w14:paraId="70095494" w14:textId="77777777" w:rsidR="0028210F" w:rsidRPr="002113D3" w:rsidRDefault="0028210F" w:rsidP="0082392E">
            <w:pPr>
              <w:pStyle w:val="Bodycopy"/>
              <w:numPr>
                <w:ilvl w:val="0"/>
                <w:numId w:val="12"/>
              </w:numPr>
            </w:pPr>
            <w:r w:rsidRPr="002113D3">
              <w:t>Assessment is to comply with relevant regulatory requirements.</w:t>
            </w:r>
          </w:p>
          <w:p w14:paraId="30FEB1AB" w14:textId="77777777" w:rsidR="0028210F" w:rsidRPr="002113D3" w:rsidRDefault="0028210F" w:rsidP="0082392E">
            <w:pPr>
              <w:pStyle w:val="Bodycopy"/>
              <w:numPr>
                <w:ilvl w:val="0"/>
                <w:numId w:val="12"/>
              </w:numPr>
            </w:pPr>
            <w:r w:rsidRPr="002113D3">
              <w:t>Simulated assessment environments must replicate the real-life working environment where these skills and knowledge would be performed, with all the relevant equipment and resources of that working environment.</w:t>
            </w:r>
          </w:p>
          <w:p w14:paraId="35F2C95C" w14:textId="77777777" w:rsidR="0028210F" w:rsidRPr="002113D3" w:rsidRDefault="0028210F" w:rsidP="0082392E">
            <w:pPr>
              <w:pStyle w:val="Bodycopy"/>
            </w:pPr>
            <w:bookmarkStart w:id="64" w:name="_GoBack"/>
            <w:bookmarkEnd w:id="64"/>
            <w:r w:rsidRPr="002113D3">
              <w:t>Students must have access to suitable facilities, equipment and resources including:</w:t>
            </w:r>
          </w:p>
          <w:p w14:paraId="3E2398E7" w14:textId="77777777" w:rsidR="0028210F" w:rsidRPr="00F27B72" w:rsidRDefault="0028210F" w:rsidP="001F4826">
            <w:pPr>
              <w:pStyle w:val="ListBullet"/>
            </w:pPr>
            <w:r>
              <w:t>p</w:t>
            </w:r>
            <w:r w:rsidRPr="00F27B72">
              <w:t>lant, tools and/or equipment for which they are spotting</w:t>
            </w:r>
          </w:p>
          <w:p w14:paraId="76AD9E85" w14:textId="77777777" w:rsidR="0028210F" w:rsidRPr="00F27B72" w:rsidRDefault="0028210F" w:rsidP="001F4826">
            <w:pPr>
              <w:pStyle w:val="ListBullet"/>
            </w:pPr>
            <w:r w:rsidRPr="00F27B72">
              <w:t>OHS/WHS relevant legislation governing work with plant in the vicinity of overhead and underground assets</w:t>
            </w:r>
          </w:p>
          <w:p w14:paraId="7DA754E4" w14:textId="77777777" w:rsidR="0028210F" w:rsidRPr="00F27B72" w:rsidRDefault="0028210F" w:rsidP="001F4826">
            <w:pPr>
              <w:pStyle w:val="ListBullet"/>
            </w:pPr>
            <w:r w:rsidRPr="00F27B72">
              <w:t>OHS/WHS relevant codes, industry standards and guidelines</w:t>
            </w:r>
          </w:p>
          <w:p w14:paraId="1770A358" w14:textId="77777777" w:rsidR="0028210F" w:rsidRPr="00F27B72" w:rsidRDefault="0028210F" w:rsidP="001F4826">
            <w:pPr>
              <w:pStyle w:val="ListBullet"/>
            </w:pPr>
            <w:r>
              <w:t>j</w:t>
            </w:r>
            <w:r w:rsidRPr="00F27B72">
              <w:t xml:space="preserve">ob site safety and risk documentation such as </w:t>
            </w:r>
            <w:r w:rsidRPr="00E93612">
              <w:t>S</w:t>
            </w:r>
            <w:r>
              <w:t>afe Work Method Statement for High Risk Construction Work (</w:t>
            </w:r>
            <w:r w:rsidRPr="00F528F4">
              <w:t>SWMS</w:t>
            </w:r>
            <w:r>
              <w:t>)</w:t>
            </w:r>
          </w:p>
          <w:p w14:paraId="57372BD4" w14:textId="77777777" w:rsidR="0028210F" w:rsidRPr="00F27B72" w:rsidRDefault="0028210F" w:rsidP="001F4826">
            <w:pPr>
              <w:pStyle w:val="ListBullet"/>
            </w:pPr>
            <w:r>
              <w:t>a</w:t>
            </w:r>
            <w:r w:rsidRPr="00F27B72">
              <w:t>ppropriate documentation examples</w:t>
            </w:r>
          </w:p>
          <w:p w14:paraId="7A993B14" w14:textId="77777777" w:rsidR="0028210F" w:rsidRPr="00F27B72" w:rsidRDefault="0028210F" w:rsidP="001F4826">
            <w:pPr>
              <w:pStyle w:val="ListBullet"/>
            </w:pPr>
            <w:r>
              <w:t>a</w:t>
            </w:r>
            <w:r w:rsidRPr="00F27B72">
              <w:t>ccess to appropriate systems of communications</w:t>
            </w:r>
          </w:p>
          <w:p w14:paraId="637C7103" w14:textId="77777777" w:rsidR="0028210F" w:rsidRPr="00F27B72" w:rsidRDefault="0028210F" w:rsidP="001F4826">
            <w:pPr>
              <w:pStyle w:val="ListBullet"/>
            </w:pPr>
            <w:r>
              <w:t>e</w:t>
            </w:r>
            <w:r w:rsidRPr="00F27B72">
              <w:t>mergency procedures appropriate to a spotters workplace</w:t>
            </w:r>
          </w:p>
          <w:p w14:paraId="38087EF2" w14:textId="77777777" w:rsidR="0028210F" w:rsidRPr="00F27B72" w:rsidRDefault="0028210F" w:rsidP="001F4826">
            <w:pPr>
              <w:pStyle w:val="ListBullet"/>
            </w:pPr>
            <w:r>
              <w:t>m</w:t>
            </w:r>
            <w:r w:rsidRPr="00F27B72">
              <w:t>easuring tools and equipment appropriate to the task</w:t>
            </w:r>
          </w:p>
          <w:p w14:paraId="38FAD13F" w14:textId="77777777" w:rsidR="0028210F" w:rsidRDefault="0028210F" w:rsidP="001F4826">
            <w:pPr>
              <w:pStyle w:val="ListBullet"/>
            </w:pPr>
            <w:r>
              <w:t>a</w:t>
            </w:r>
            <w:r w:rsidRPr="00F27B72">
              <w:t>ppropriate PPE</w:t>
            </w:r>
          </w:p>
          <w:p w14:paraId="093A34BB" w14:textId="77777777" w:rsidR="0028210F" w:rsidRPr="002113D3" w:rsidRDefault="0028210F" w:rsidP="001F4826">
            <w:pPr>
              <w:pStyle w:val="ListBullet"/>
            </w:pPr>
            <w:r w:rsidRPr="002113D3">
              <w:t>Assessors of this unit must satisfy the requirements for assessors in applicable vocational education and training legislation, frameworks and/or standards</w:t>
            </w:r>
          </w:p>
          <w:p w14:paraId="1905B16B" w14:textId="77777777" w:rsidR="0028210F" w:rsidRPr="00E00F60" w:rsidRDefault="0028210F" w:rsidP="0082392E">
            <w:pPr>
              <w:pStyle w:val="Bodycopy"/>
            </w:pPr>
            <w:r w:rsidRPr="002113D3">
              <w:t>No specialist vocational competency requirements for assessors apply to this unit.</w:t>
            </w:r>
          </w:p>
        </w:tc>
      </w:tr>
    </w:tbl>
    <w:p w14:paraId="393F0EB3" w14:textId="755B2CDC" w:rsidR="0028210F" w:rsidRPr="00730218" w:rsidRDefault="0028210F" w:rsidP="0082392E">
      <w:pPr>
        <w:pStyle w:val="Bodycopy"/>
      </w:pPr>
    </w:p>
    <w:sectPr w:rsidR="0028210F" w:rsidRPr="00730218" w:rsidSect="00E50851">
      <w:headerReference w:type="default" r:id="rId27"/>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2F19" w16cex:dateUtc="2022-05-16T10:14:00Z"/>
  <w16cex:commentExtensible w16cex:durableId="262D3004" w16cex:dateUtc="2022-05-16T10:18:00Z"/>
  <w16cex:commentExtensible w16cex:durableId="262D2D5D" w16cex:dateUtc="2022-05-16T10:06:00Z"/>
  <w16cex:commentExtensible w16cex:durableId="262D25A9" w16cex:dateUtc="2022-05-16T09:34:00Z"/>
  <w16cex:commentExtensible w16cex:durableId="262D2E59" w16cex:dateUtc="2022-05-16T10:11:00Z"/>
  <w16cex:commentExtensible w16cex:durableId="262D2E78" w16cex:dateUtc="2022-05-16T10:11:00Z"/>
  <w16cex:commentExtensible w16cex:durableId="262D2EBD" w16cex:dateUtc="2022-05-16T10:12:00Z"/>
  <w16cex:commentExtensible w16cex:durableId="262D2ED7" w16cex:dateUtc="2022-05-1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B5DD0" w16cid:durableId="262D2F19"/>
  <w16cid:commentId w16cid:paraId="5E21E28F" w16cid:durableId="262D3004"/>
  <w16cid:commentId w16cid:paraId="7B478F5E" w16cid:durableId="262D2D5D"/>
  <w16cid:commentId w16cid:paraId="7FFF4E0B" w16cid:durableId="262D25A9"/>
  <w16cid:commentId w16cid:paraId="08E42BED" w16cid:durableId="262D2E59"/>
  <w16cid:commentId w16cid:paraId="59573959" w16cid:durableId="262D2E78"/>
  <w16cid:commentId w16cid:paraId="6EE18038" w16cid:durableId="262D2EBD"/>
  <w16cid:commentId w16cid:paraId="77527592" w16cid:durableId="262D2E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B6A0" w14:textId="77777777" w:rsidR="0028210F" w:rsidRDefault="0028210F">
      <w:r>
        <w:separator/>
      </w:r>
    </w:p>
  </w:endnote>
  <w:endnote w:type="continuationSeparator" w:id="0">
    <w:p w14:paraId="7EAB2A88" w14:textId="77777777" w:rsidR="0028210F" w:rsidRDefault="0028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709E" w14:textId="593D2506" w:rsidR="00D866E4" w:rsidRDefault="00D866E4">
    <w:pPr>
      <w:pStyle w:val="Footer"/>
    </w:pPr>
    <w:r w:rsidRPr="00603F0E">
      <w:rPr>
        <w:noProof/>
        <w:lang w:val="en-AU" w:eastAsia="en-AU"/>
      </w:rPr>
      <w:drawing>
        <wp:inline distT="0" distB="0" distL="0" distR="0" wp14:anchorId="5C61CE64" wp14:editId="2F37B802">
          <wp:extent cx="1390650" cy="38096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0" cy="392109"/>
                  </a:xfrm>
                  <a:prstGeom prst="rect">
                    <a:avLst/>
                  </a:prstGeom>
                  <a:noFill/>
                </pic:spPr>
              </pic:pic>
            </a:graphicData>
          </a:graphic>
        </wp:inline>
      </w:drawing>
    </w:r>
  </w:p>
  <w:p w14:paraId="19C24746" w14:textId="77777777" w:rsidR="00D866E4" w:rsidRDefault="00D866E4">
    <w:pPr>
      <w:pStyle w:val="Footer"/>
    </w:pPr>
  </w:p>
  <w:p w14:paraId="329B2786" w14:textId="2ED568B8" w:rsidR="00D866E4" w:rsidRDefault="00D866E4">
    <w:pPr>
      <w:pStyle w:val="Footer"/>
    </w:pPr>
    <w:r>
      <w:rPr>
        <w:noProof/>
        <w:lang w:val="en-AU" w:eastAsia="en-AU"/>
      </w:rPr>
      <w:drawing>
        <wp:inline distT="0" distB="0" distL="0" distR="0" wp14:anchorId="4C1F21F3" wp14:editId="61664F93">
          <wp:extent cx="841375" cy="292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A0B7" w14:textId="579B8A9D" w:rsidR="00D866E4" w:rsidRDefault="00D866E4" w:rsidP="00631596">
    <w:pPr>
      <w:pStyle w:val="Footer"/>
    </w:pPr>
  </w:p>
  <w:p w14:paraId="74D9D830" w14:textId="43510D30" w:rsidR="00AE1D3A" w:rsidRPr="00D866E4" w:rsidRDefault="00AE1D3A" w:rsidP="00AE1D3A">
    <w:pPr>
      <w:pStyle w:val="Footer"/>
      <w:tabs>
        <w:tab w:val="clear" w:pos="4536"/>
      </w:tabs>
      <w:rPr>
        <w:sz w:val="16"/>
        <w:szCs w:val="16"/>
      </w:rPr>
    </w:pPr>
    <w:r>
      <w:rPr>
        <w:noProof/>
        <w:lang w:val="en-AU" w:eastAsia="en-AU"/>
      </w:rPr>
      <w:drawing>
        <wp:inline distT="0" distB="0" distL="0" distR="0" wp14:anchorId="64479196" wp14:editId="28A913EA">
          <wp:extent cx="841375" cy="2927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tab/>
    </w:r>
    <w:r w:rsidRPr="00D866E4">
      <w:rPr>
        <w:rStyle w:val="FooterChar"/>
        <w:sz w:val="16"/>
        <w:szCs w:val="16"/>
      </w:rPr>
      <w:t xml:space="preserve">Page </w:t>
    </w:r>
    <w:r w:rsidRPr="00D866E4">
      <w:rPr>
        <w:rStyle w:val="FooterChar"/>
        <w:sz w:val="16"/>
        <w:szCs w:val="16"/>
      </w:rPr>
      <w:fldChar w:fldCharType="begin"/>
    </w:r>
    <w:r w:rsidRPr="00D866E4">
      <w:rPr>
        <w:rStyle w:val="FooterChar"/>
        <w:sz w:val="16"/>
        <w:szCs w:val="16"/>
      </w:rPr>
      <w:instrText xml:space="preserve"> PAGE </w:instrText>
    </w:r>
    <w:r w:rsidRPr="00D866E4">
      <w:rPr>
        <w:rStyle w:val="FooterChar"/>
        <w:sz w:val="16"/>
        <w:szCs w:val="16"/>
      </w:rPr>
      <w:fldChar w:fldCharType="separate"/>
    </w:r>
    <w:r w:rsidR="00352E7B">
      <w:rPr>
        <w:rStyle w:val="FooterChar"/>
        <w:noProof/>
        <w:sz w:val="16"/>
        <w:szCs w:val="16"/>
      </w:rPr>
      <w:t>iii</w:t>
    </w:r>
    <w:r w:rsidRPr="00D866E4">
      <w:rPr>
        <w:rStyle w:val="FooterChar"/>
        <w:sz w:val="16"/>
        <w:szCs w:val="16"/>
      </w:rPr>
      <w:fldChar w:fldCharType="end"/>
    </w:r>
    <w:r w:rsidRPr="00D866E4">
      <w:rPr>
        <w:rStyle w:val="FooterChar"/>
        <w:sz w:val="16"/>
        <w:szCs w:val="16"/>
      </w:rPr>
      <w:t xml:space="preserve"> of </w:t>
    </w:r>
    <w:r w:rsidRPr="00D866E4">
      <w:rPr>
        <w:rStyle w:val="FooterChar"/>
        <w:sz w:val="16"/>
        <w:szCs w:val="16"/>
      </w:rPr>
      <w:fldChar w:fldCharType="begin"/>
    </w:r>
    <w:r w:rsidRPr="00D866E4">
      <w:rPr>
        <w:rStyle w:val="FooterChar"/>
        <w:sz w:val="16"/>
        <w:szCs w:val="16"/>
      </w:rPr>
      <w:instrText xml:space="preserve"> NUMPAGES  </w:instrText>
    </w:r>
    <w:r w:rsidRPr="00D866E4">
      <w:rPr>
        <w:rStyle w:val="FooterChar"/>
        <w:sz w:val="16"/>
        <w:szCs w:val="16"/>
      </w:rPr>
      <w:fldChar w:fldCharType="separate"/>
    </w:r>
    <w:r w:rsidR="00352E7B">
      <w:rPr>
        <w:rStyle w:val="FooterChar"/>
        <w:noProof/>
        <w:sz w:val="16"/>
        <w:szCs w:val="16"/>
      </w:rPr>
      <w:t>27</w:t>
    </w:r>
    <w:r w:rsidRPr="00D866E4">
      <w:rPr>
        <w:rStyle w:val="FooterCha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A15E" w14:textId="67665351" w:rsidR="00D866E4" w:rsidRDefault="003F356F" w:rsidP="00D866E4">
    <w:pPr>
      <w:pStyle w:val="Footer"/>
      <w:tabs>
        <w:tab w:val="clear" w:pos="4536"/>
      </w:tabs>
      <w:rPr>
        <w:rStyle w:val="FooterChar"/>
        <w:sz w:val="16"/>
        <w:szCs w:val="16"/>
      </w:rPr>
    </w:pPr>
    <w:r w:rsidRPr="003F356F">
      <w:rPr>
        <w:sz w:val="16"/>
        <w:szCs w:val="18"/>
      </w:rPr>
      <w:t>22597VIC Course in Workplace Spotting for Service Assets</w:t>
    </w:r>
    <w:r w:rsidR="00D866E4">
      <w:tab/>
    </w:r>
    <w:r w:rsidR="00D866E4" w:rsidRPr="00D866E4">
      <w:rPr>
        <w:rStyle w:val="FooterChar"/>
        <w:sz w:val="16"/>
        <w:szCs w:val="16"/>
      </w:rPr>
      <w:t xml:space="preserve">Page </w:t>
    </w:r>
    <w:r w:rsidR="00D866E4" w:rsidRPr="00D866E4">
      <w:rPr>
        <w:rStyle w:val="FooterChar"/>
        <w:sz w:val="16"/>
        <w:szCs w:val="16"/>
      </w:rPr>
      <w:fldChar w:fldCharType="begin"/>
    </w:r>
    <w:r w:rsidR="00D866E4" w:rsidRPr="00D866E4">
      <w:rPr>
        <w:rStyle w:val="FooterChar"/>
        <w:sz w:val="16"/>
        <w:szCs w:val="16"/>
      </w:rPr>
      <w:instrText xml:space="preserve"> PAGE </w:instrText>
    </w:r>
    <w:r w:rsidR="00D866E4" w:rsidRPr="00D866E4">
      <w:rPr>
        <w:rStyle w:val="FooterChar"/>
        <w:sz w:val="16"/>
        <w:szCs w:val="16"/>
      </w:rPr>
      <w:fldChar w:fldCharType="separate"/>
    </w:r>
    <w:r w:rsidR="00352E7B">
      <w:rPr>
        <w:rStyle w:val="FooterChar"/>
        <w:noProof/>
        <w:sz w:val="16"/>
        <w:szCs w:val="16"/>
      </w:rPr>
      <w:t>22</w:t>
    </w:r>
    <w:r w:rsidR="00D866E4" w:rsidRPr="00D866E4">
      <w:rPr>
        <w:rStyle w:val="FooterChar"/>
        <w:sz w:val="16"/>
        <w:szCs w:val="16"/>
      </w:rPr>
      <w:fldChar w:fldCharType="end"/>
    </w:r>
    <w:r w:rsidR="00D866E4" w:rsidRPr="00D866E4">
      <w:rPr>
        <w:rStyle w:val="FooterChar"/>
        <w:sz w:val="16"/>
        <w:szCs w:val="16"/>
      </w:rPr>
      <w:t xml:space="preserve"> of </w:t>
    </w:r>
    <w:r w:rsidR="00D866E4" w:rsidRPr="00D866E4">
      <w:rPr>
        <w:rStyle w:val="FooterChar"/>
        <w:sz w:val="16"/>
        <w:szCs w:val="16"/>
      </w:rPr>
      <w:fldChar w:fldCharType="begin"/>
    </w:r>
    <w:r w:rsidR="00D866E4" w:rsidRPr="00D866E4">
      <w:rPr>
        <w:rStyle w:val="FooterChar"/>
        <w:sz w:val="16"/>
        <w:szCs w:val="16"/>
      </w:rPr>
      <w:instrText xml:space="preserve"> NUMPAGES  </w:instrText>
    </w:r>
    <w:r w:rsidR="00D866E4" w:rsidRPr="00D866E4">
      <w:rPr>
        <w:rStyle w:val="FooterChar"/>
        <w:sz w:val="16"/>
        <w:szCs w:val="16"/>
      </w:rPr>
      <w:fldChar w:fldCharType="separate"/>
    </w:r>
    <w:r w:rsidR="00352E7B">
      <w:rPr>
        <w:rStyle w:val="FooterChar"/>
        <w:noProof/>
        <w:sz w:val="16"/>
        <w:szCs w:val="16"/>
      </w:rPr>
      <w:t>27</w:t>
    </w:r>
    <w:r w:rsidR="00D866E4" w:rsidRPr="00D866E4">
      <w:rPr>
        <w:rStyle w:val="FooterChar"/>
        <w:sz w:val="16"/>
        <w:szCs w:val="16"/>
      </w:rPr>
      <w:fldChar w:fldCharType="end"/>
    </w:r>
  </w:p>
  <w:p w14:paraId="63916C86" w14:textId="3D546180" w:rsidR="003F356F" w:rsidRPr="00D866E4" w:rsidRDefault="003F356F" w:rsidP="00D866E4">
    <w:pPr>
      <w:pStyle w:val="Footer"/>
      <w:tabs>
        <w:tab w:val="clear" w:pos="4536"/>
      </w:tabs>
      <w:rPr>
        <w:sz w:val="16"/>
        <w:szCs w:val="16"/>
      </w:rPr>
    </w:pPr>
    <w:r>
      <w:rPr>
        <w:noProof/>
        <w:sz w:val="16"/>
        <w:szCs w:val="16"/>
        <w:lang w:val="en-AU" w:eastAsia="en-AU"/>
      </w:rPr>
      <w:drawing>
        <wp:inline distT="0" distB="0" distL="0" distR="0" wp14:anchorId="1B01D5EB" wp14:editId="75EA6C94">
          <wp:extent cx="841375" cy="292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BE29" w14:textId="77777777" w:rsidR="0028210F" w:rsidRDefault="0028210F">
      <w:r>
        <w:separator/>
      </w:r>
    </w:p>
  </w:footnote>
  <w:footnote w:type="continuationSeparator" w:id="0">
    <w:p w14:paraId="6D949B77" w14:textId="77777777" w:rsidR="0028210F" w:rsidRDefault="0028210F">
      <w:r>
        <w:continuationSeparator/>
      </w:r>
    </w:p>
  </w:footnote>
  <w:footnote w:id="1">
    <w:p w14:paraId="65AC33CA" w14:textId="77777777" w:rsidR="0028210F" w:rsidRDefault="0028210F" w:rsidP="0028210F">
      <w:pPr>
        <w:pStyle w:val="FootnoteText"/>
      </w:pPr>
      <w:r>
        <w:rPr>
          <w:rStyle w:val="FootnoteReference"/>
        </w:rPr>
        <w:footnoteRef/>
      </w:r>
      <w:r>
        <w:t xml:space="preserve"> </w:t>
      </w:r>
      <w:hyperlink r:id="rId1" w:history="1">
        <w:r w:rsidRPr="00FC23F4">
          <w:rPr>
            <w:rStyle w:val="Hyperlink"/>
            <w:rFonts w:eastAsia="Arial"/>
          </w:rPr>
          <w:t>https://esv.vic.gov.au/about-esv/corporate-information/about-esv/</w:t>
        </w:r>
      </w:hyperlink>
    </w:p>
    <w:p w14:paraId="1A4BC5EB" w14:textId="77777777" w:rsidR="0028210F" w:rsidRDefault="0028210F" w:rsidP="0028210F">
      <w:pPr>
        <w:pStyle w:val="FootnoteText"/>
      </w:pPr>
    </w:p>
  </w:footnote>
  <w:footnote w:id="2">
    <w:p w14:paraId="67F493AC" w14:textId="77777777" w:rsidR="0028210F" w:rsidRDefault="0028210F" w:rsidP="0028210F">
      <w:pPr>
        <w:pStyle w:val="FootnoteText"/>
      </w:pPr>
      <w:r>
        <w:rPr>
          <w:rStyle w:val="FootnoteReference"/>
        </w:rPr>
        <w:footnoteRef/>
      </w:r>
      <w:r>
        <w:t xml:space="preserve"> </w:t>
      </w:r>
      <w:hyperlink r:id="rId2" w:history="1">
        <w:r>
          <w:rPr>
            <w:rStyle w:val="Hyperlink"/>
            <w:rFonts w:eastAsia="Arial"/>
          </w:rPr>
          <w:t>https://www.nationalskillscommission.gov.au/jobs-industry</w:t>
        </w:r>
      </w:hyperlink>
    </w:p>
  </w:footnote>
  <w:footnote w:id="3">
    <w:p w14:paraId="2CD21C61" w14:textId="77777777" w:rsidR="0028210F" w:rsidRDefault="0028210F" w:rsidP="0028210F">
      <w:pPr>
        <w:pStyle w:val="FootnoteText"/>
      </w:pPr>
      <w:r>
        <w:rPr>
          <w:rStyle w:val="FootnoteReference"/>
        </w:rPr>
        <w:footnoteRef/>
      </w:r>
      <w:r>
        <w:t xml:space="preserve"> </w:t>
      </w:r>
      <w:hyperlink r:id="rId3" w:history="1">
        <w:r>
          <w:rPr>
            <w:rStyle w:val="Hyperlink"/>
            <w:rFonts w:eastAsia="Arial"/>
          </w:rPr>
          <w:t>https://backtobasics.edu.au/2019/03/construction-industry-facts/</w:t>
        </w:r>
      </w:hyperlink>
    </w:p>
  </w:footnote>
  <w:footnote w:id="4">
    <w:p w14:paraId="1397887D" w14:textId="77777777" w:rsidR="0028210F" w:rsidRDefault="0028210F" w:rsidP="0028210F">
      <w:pPr>
        <w:pStyle w:val="FootnoteText"/>
      </w:pPr>
      <w:r>
        <w:rPr>
          <w:rStyle w:val="FootnoteReference"/>
        </w:rPr>
        <w:footnoteRef/>
      </w:r>
      <w:r>
        <w:t xml:space="preserve"> </w:t>
      </w:r>
      <w:hyperlink r:id="rId4" w:history="1">
        <w:r>
          <w:rPr>
            <w:rStyle w:val="Hyperlink"/>
            <w:rFonts w:eastAsia="Arial"/>
          </w:rPr>
          <w:t>https://esv.vic.gov.au/wp-content/uploads/2019/02/2017-18-ESV_Annual-Report.pdf</w:t>
        </w:r>
      </w:hyperlink>
      <w:r>
        <w:t>, p.19</w:t>
      </w:r>
    </w:p>
  </w:footnote>
  <w:footnote w:id="5">
    <w:p w14:paraId="375BCF52" w14:textId="77777777" w:rsidR="0028210F" w:rsidRDefault="0028210F" w:rsidP="0028210F">
      <w:pPr>
        <w:pStyle w:val="FootnoteText"/>
      </w:pPr>
      <w:r>
        <w:rPr>
          <w:rStyle w:val="FootnoteReference"/>
        </w:rPr>
        <w:footnoteRef/>
      </w:r>
      <w:r>
        <w:t xml:space="preserve"> ESV Annual Report 2018 / 2019, p.11 </w:t>
      </w:r>
    </w:p>
  </w:footnote>
  <w:footnote w:id="6">
    <w:p w14:paraId="582D4133" w14:textId="77777777" w:rsidR="0028210F" w:rsidRDefault="0028210F" w:rsidP="0028210F">
      <w:pPr>
        <w:pStyle w:val="FootnoteText"/>
      </w:pPr>
      <w:r>
        <w:rPr>
          <w:rStyle w:val="FootnoteReference"/>
        </w:rPr>
        <w:footnoteRef/>
      </w:r>
      <w:hyperlink r:id="rId5" w:history="1">
        <w:r>
          <w:rPr>
            <w:rStyle w:val="Hyperlink"/>
            <w:rFonts w:eastAsia="Arial"/>
          </w:rPr>
          <w:t>https://www.safeworkaustralia.gov.au/system/files/documents/2002/work_related_traumatic_injury_fatalities_report_2018.pdf</w:t>
        </w:r>
      </w:hyperlink>
      <w:r>
        <w:t>, p.8</w:t>
      </w:r>
    </w:p>
  </w:footnote>
  <w:footnote w:id="7">
    <w:p w14:paraId="5B2B1525" w14:textId="77777777" w:rsidR="0028210F" w:rsidRDefault="0028210F" w:rsidP="0028210F">
      <w:pPr>
        <w:pStyle w:val="FootnoteText"/>
      </w:pPr>
      <w:r>
        <w:rPr>
          <w:rStyle w:val="FootnoteReference"/>
        </w:rPr>
        <w:footnoteRef/>
      </w:r>
      <w:r>
        <w:t xml:space="preserve"> ESV. Spotters Training Providers Meeting Minutes April 2021</w:t>
      </w:r>
    </w:p>
  </w:footnote>
  <w:footnote w:id="8">
    <w:p w14:paraId="1ED7218F" w14:textId="77777777" w:rsidR="0028210F" w:rsidRDefault="0028210F" w:rsidP="0028210F">
      <w:pPr>
        <w:pStyle w:val="FootnoteText"/>
      </w:pPr>
      <w:r>
        <w:rPr>
          <w:rStyle w:val="FootnoteReference"/>
        </w:rPr>
        <w:footnoteRef/>
      </w:r>
      <w:r>
        <w:t xml:space="preserve"> </w:t>
      </w:r>
      <w:hyperlink r:id="rId6" w:history="1">
        <w:r>
          <w:rPr>
            <w:rStyle w:val="Hyperlink"/>
            <w:rFonts w:eastAsia="Arial"/>
          </w:rPr>
          <w:t>https://nationalindustryinsights.aisc.net.au/industries/construction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C3B8" w14:textId="622B9391" w:rsidR="00D866E4" w:rsidRPr="00834042" w:rsidRDefault="00D866E4" w:rsidP="00503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C5F6" w14:textId="0AE15158" w:rsidR="00D866E4" w:rsidRPr="00D866E4" w:rsidRDefault="00D866E4" w:rsidP="00022C79">
    <w:pPr>
      <w:pStyle w:val="Header"/>
      <w:ind w:left="4536"/>
      <w:rPr>
        <w:sz w:val="16"/>
        <w:szCs w:val="16"/>
      </w:rPr>
    </w:pPr>
    <w:r w:rsidRPr="00D866E4">
      <w:rPr>
        <w:sz w:val="16"/>
        <w:szCs w:val="16"/>
      </w:rPr>
      <w:t xml:space="preserve">Section </w:t>
    </w:r>
    <w:r>
      <w:rPr>
        <w:sz w:val="16"/>
        <w:szCs w:val="16"/>
      </w:rPr>
      <w:t>A</w:t>
    </w:r>
    <w:r w:rsidRPr="00D866E4">
      <w:rPr>
        <w:sz w:val="16"/>
        <w:szCs w:val="16"/>
      </w:rPr>
      <w:t xml:space="preserve">: </w:t>
    </w:r>
    <w:r>
      <w:rPr>
        <w:sz w:val="16"/>
        <w:szCs w:val="16"/>
      </w:rPr>
      <w:t>Applicant and course classification</w:t>
    </w:r>
    <w:r w:rsidRPr="00D866E4">
      <w:rPr>
        <w:sz w:val="16"/>
        <w:szCs w:val="16"/>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B2C" w14:textId="1D857BBE" w:rsidR="00D866E4" w:rsidRPr="00D866E4" w:rsidRDefault="00D866E4" w:rsidP="00022C79">
    <w:pPr>
      <w:pStyle w:val="Header"/>
      <w:ind w:left="6480"/>
      <w:rPr>
        <w:sz w:val="16"/>
        <w:szCs w:val="16"/>
      </w:rPr>
    </w:pPr>
    <w:r w:rsidRPr="00D866E4">
      <w:rPr>
        <w:sz w:val="16"/>
        <w:szCs w:val="16"/>
      </w:rPr>
      <w:t>Section B: Course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88B5" w14:textId="77777777" w:rsidR="00D866E4" w:rsidRPr="00D866E4" w:rsidRDefault="00D866E4" w:rsidP="00503421">
    <w:pPr>
      <w:pStyle w:val="Header"/>
      <w:rPr>
        <w:sz w:val="16"/>
        <w:szCs w:val="16"/>
      </w:rPr>
    </w:pPr>
    <w:r>
      <w:tab/>
    </w:r>
    <w:r>
      <w:tab/>
    </w:r>
    <w:r w:rsidRPr="00D866E4">
      <w:rPr>
        <w:sz w:val="16"/>
        <w:szCs w:val="16"/>
      </w:rPr>
      <w:t>Section B: Course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6D86" w14:textId="680747CE" w:rsidR="00D866E4" w:rsidRPr="00D866E4" w:rsidRDefault="00D866E4" w:rsidP="00D866E4">
    <w:pPr>
      <w:pStyle w:val="Header"/>
      <w:tabs>
        <w:tab w:val="clear" w:pos="4536"/>
      </w:tabs>
      <w:rPr>
        <w:sz w:val="16"/>
        <w:szCs w:val="16"/>
      </w:rPr>
    </w:pPr>
    <w:r>
      <w:tab/>
    </w:r>
    <w:r>
      <w:rPr>
        <w:sz w:val="16"/>
        <w:szCs w:val="16"/>
      </w:rPr>
      <w:t>VU23165 Observe and manage the safe operation of plant and equipment around overhead and underground assets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3EC5C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5650339"/>
    <w:multiLevelType w:val="hybridMultilevel"/>
    <w:tmpl w:val="33B28FCE"/>
    <w:lvl w:ilvl="0" w:tplc="472A64D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82DEE"/>
    <w:multiLevelType w:val="hybridMultilevel"/>
    <w:tmpl w:val="4E96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D626F"/>
    <w:multiLevelType w:val="hybridMultilevel"/>
    <w:tmpl w:val="2FA2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E61E83"/>
    <w:multiLevelType w:val="hybridMultilevel"/>
    <w:tmpl w:val="67A2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F42A6"/>
    <w:multiLevelType w:val="hybridMultilevel"/>
    <w:tmpl w:val="41FA6666"/>
    <w:lvl w:ilvl="0" w:tplc="E4B6D7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C07B66"/>
    <w:multiLevelType w:val="hybridMultilevel"/>
    <w:tmpl w:val="DAC2CE66"/>
    <w:lvl w:ilvl="0" w:tplc="C62ABB7E">
      <w:start w:val="1"/>
      <w:numFmt w:val="bullet"/>
      <w:lvlText w:val="­"/>
      <w:lvlJc w:val="left"/>
      <w:pPr>
        <w:ind w:left="643" w:hanging="360"/>
      </w:pPr>
      <w:rPr>
        <w:rFonts w:ascii="Courier New" w:hAnsi="Courier New" w:hint="default"/>
        <w:color w:val="0000FF"/>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5D7D3CBE"/>
    <w:multiLevelType w:val="multilevel"/>
    <w:tmpl w:val="ACB07FBE"/>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9" w15:restartNumberingAfterBreak="0">
    <w:nsid w:val="618B6AD4"/>
    <w:multiLevelType w:val="hybridMultilevel"/>
    <w:tmpl w:val="CEAE7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C903D3"/>
    <w:multiLevelType w:val="hybridMultilevel"/>
    <w:tmpl w:val="C13A52FA"/>
    <w:lvl w:ilvl="0" w:tplc="E4B6D7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
  </w:num>
  <w:num w:numId="7">
    <w:abstractNumId w:val="4"/>
  </w:num>
  <w:num w:numId="8">
    <w:abstractNumId w:val="1"/>
  </w:num>
  <w:num w:numId="9">
    <w:abstractNumId w:val="0"/>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NLG0tLAwMra0NDNV0lEKTi0uzszPAykwqgUAACtWYiwAAAA="/>
  </w:docVars>
  <w:rsids>
    <w:rsidRoot w:val="0028210F"/>
    <w:rsid w:val="00022C79"/>
    <w:rsid w:val="0003713D"/>
    <w:rsid w:val="000D0778"/>
    <w:rsid w:val="000F5776"/>
    <w:rsid w:val="00120AF2"/>
    <w:rsid w:val="00197669"/>
    <w:rsid w:val="002528F8"/>
    <w:rsid w:val="0028210F"/>
    <w:rsid w:val="00282910"/>
    <w:rsid w:val="002A5078"/>
    <w:rsid w:val="002D5197"/>
    <w:rsid w:val="00352E7B"/>
    <w:rsid w:val="00363AEA"/>
    <w:rsid w:val="003E7692"/>
    <w:rsid w:val="003F356F"/>
    <w:rsid w:val="004234B8"/>
    <w:rsid w:val="0044000E"/>
    <w:rsid w:val="00582F0D"/>
    <w:rsid w:val="005B5B3A"/>
    <w:rsid w:val="005C04D1"/>
    <w:rsid w:val="005E1CE8"/>
    <w:rsid w:val="006473D7"/>
    <w:rsid w:val="006B0181"/>
    <w:rsid w:val="00730218"/>
    <w:rsid w:val="007A3901"/>
    <w:rsid w:val="0082392E"/>
    <w:rsid w:val="008D4BE6"/>
    <w:rsid w:val="00941F3F"/>
    <w:rsid w:val="00AE1D3A"/>
    <w:rsid w:val="00B64D29"/>
    <w:rsid w:val="00D866E4"/>
    <w:rsid w:val="00E46FC8"/>
    <w:rsid w:val="00E50851"/>
    <w:rsid w:val="00EC391C"/>
    <w:rsid w:val="00F6542B"/>
    <w:rsid w:val="00F927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DBEFD1"/>
  <w15:chartTrackingRefBased/>
  <w15:docId w15:val="{4E846AF2-A8FA-486B-8EF4-635A15DD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List Bullet" w:qFormat="1"/>
    <w:lsdException w:name="List Bullet 2"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0F"/>
    <w:rPr>
      <w:rFonts w:ascii="Arial" w:hAnsi="Arial"/>
      <w:sz w:val="22"/>
      <w:szCs w:val="24"/>
      <w:lang w:val="en-GB" w:eastAsia="en-GB"/>
    </w:rPr>
  </w:style>
  <w:style w:type="paragraph" w:styleId="Heading1">
    <w:name w:val="heading 1"/>
    <w:basedOn w:val="Normal"/>
    <w:next w:val="l1text"/>
    <w:link w:val="Heading1Char"/>
    <w:qFormat/>
    <w:rsid w:val="002C6602"/>
    <w:pPr>
      <w:keepNext/>
      <w:spacing w:before="240" w:after="180"/>
      <w:outlineLvl w:val="0"/>
    </w:pPr>
    <w:rPr>
      <w:rFonts w:cs="Arial"/>
      <w:b/>
      <w:bCs/>
      <w:kern w:val="28"/>
      <w:sz w:val="28"/>
      <w:szCs w:val="28"/>
    </w:rPr>
  </w:style>
  <w:style w:type="paragraph" w:styleId="Heading2">
    <w:name w:val="heading 2"/>
    <w:basedOn w:val="Normal"/>
    <w:next w:val="l2text"/>
    <w:qFormat/>
    <w:rsid w:val="002C6602"/>
    <w:pPr>
      <w:keepNext/>
      <w:spacing w:before="240" w:after="120"/>
      <w:ind w:left="709"/>
      <w:outlineLvl w:val="1"/>
    </w:pPr>
    <w:rPr>
      <w:rFonts w:cs="Arial"/>
      <w:b/>
      <w:bCs/>
      <w:iCs/>
      <w:szCs w:val="28"/>
    </w:rPr>
  </w:style>
  <w:style w:type="paragraph" w:styleId="Heading3">
    <w:name w:val="heading 3"/>
    <w:basedOn w:val="Normal"/>
    <w:next w:val="l3text"/>
    <w:qFormat/>
    <w:rsid w:val="002C6602"/>
    <w:pPr>
      <w:keepNext/>
      <w:spacing w:before="240" w:after="120"/>
      <w:ind w:left="1418"/>
      <w:outlineLvl w:val="2"/>
    </w:pPr>
    <w:rPr>
      <w:rFonts w:cs="Arial"/>
      <w:b/>
      <w:bCs/>
      <w:szCs w:val="26"/>
    </w:rPr>
  </w:style>
  <w:style w:type="paragraph" w:styleId="Heading4">
    <w:name w:val="heading 4"/>
    <w:basedOn w:val="Normal"/>
    <w:next w:val="l4text"/>
    <w:qFormat/>
    <w:rsid w:val="00051DFC"/>
    <w:pPr>
      <w:keepNext/>
      <w:spacing w:before="240" w:after="120"/>
      <w:ind w:left="2126"/>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text">
    <w:name w:val="l1text"/>
    <w:basedOn w:val="Normal"/>
    <w:rsid w:val="002C6602"/>
  </w:style>
  <w:style w:type="paragraph" w:customStyle="1" w:styleId="l2text">
    <w:name w:val="l2text"/>
    <w:basedOn w:val="Normal"/>
    <w:rsid w:val="002C6602"/>
    <w:pPr>
      <w:ind w:left="709"/>
    </w:pPr>
  </w:style>
  <w:style w:type="paragraph" w:customStyle="1" w:styleId="l3text">
    <w:name w:val="l3text"/>
    <w:basedOn w:val="Normal"/>
    <w:rsid w:val="002C6602"/>
    <w:pPr>
      <w:ind w:left="1418"/>
    </w:pPr>
  </w:style>
  <w:style w:type="paragraph" w:customStyle="1" w:styleId="l4text">
    <w:name w:val="l4text"/>
    <w:basedOn w:val="Normal"/>
    <w:rsid w:val="002C6602"/>
    <w:pPr>
      <w:ind w:left="2126"/>
    </w:pPr>
  </w:style>
  <w:style w:type="paragraph" w:styleId="Footer">
    <w:name w:val="footer"/>
    <w:basedOn w:val="Normal"/>
    <w:link w:val="FooterChar"/>
    <w:uiPriority w:val="99"/>
    <w:qFormat/>
    <w:rsid w:val="00446AB0"/>
    <w:pPr>
      <w:tabs>
        <w:tab w:val="center" w:pos="4536"/>
        <w:tab w:val="right" w:pos="9072"/>
      </w:tabs>
    </w:pPr>
  </w:style>
  <w:style w:type="paragraph" w:styleId="Header">
    <w:name w:val="header"/>
    <w:basedOn w:val="Normal"/>
    <w:link w:val="HeaderChar"/>
    <w:uiPriority w:val="99"/>
    <w:qFormat/>
    <w:rsid w:val="00446AB0"/>
    <w:pPr>
      <w:tabs>
        <w:tab w:val="center" w:pos="4536"/>
        <w:tab w:val="right" w:pos="9072"/>
      </w:tabs>
    </w:pPr>
  </w:style>
  <w:style w:type="paragraph" w:customStyle="1" w:styleId="Bodycopy">
    <w:name w:val="Body copy"/>
    <w:basedOn w:val="Normal"/>
    <w:link w:val="BodycopyChar"/>
    <w:autoRedefine/>
    <w:qFormat/>
    <w:rsid w:val="0082392E"/>
    <w:pPr>
      <w:tabs>
        <w:tab w:val="left" w:pos="2185"/>
      </w:tabs>
      <w:spacing w:before="120" w:after="120"/>
      <w:ind w:left="360"/>
    </w:pPr>
    <w:rPr>
      <w:rFonts w:eastAsia="Arial" w:cs="Arial"/>
      <w:bCs/>
      <w:szCs w:val="19"/>
      <w:lang w:val="en-AU" w:eastAsia="en-US"/>
    </w:rPr>
  </w:style>
  <w:style w:type="paragraph" w:customStyle="1" w:styleId="Headingfrontpages">
    <w:name w:val="Heading_front pages"/>
    <w:basedOn w:val="Heading1"/>
    <w:autoRedefine/>
    <w:qFormat/>
    <w:rsid w:val="0028210F"/>
    <w:pPr>
      <w:spacing w:before="80" w:after="80"/>
    </w:pPr>
    <w:rPr>
      <w:rFonts w:ascii="Microsoft Sans Serif" w:hAnsi="Microsoft Sans Serif" w:cs="Times New Roman"/>
      <w:kern w:val="0"/>
      <w:szCs w:val="24"/>
    </w:rPr>
  </w:style>
  <w:style w:type="character" w:customStyle="1" w:styleId="BodycopyChar">
    <w:name w:val="Body copy Char"/>
    <w:link w:val="Bodycopy"/>
    <w:rsid w:val="0082392E"/>
    <w:rPr>
      <w:rFonts w:ascii="Arial" w:eastAsia="Arial" w:hAnsi="Arial" w:cs="Arial"/>
      <w:bCs/>
      <w:sz w:val="22"/>
      <w:szCs w:val="19"/>
    </w:rPr>
  </w:style>
  <w:style w:type="paragraph" w:customStyle="1" w:styleId="Bold">
    <w:name w:val="Bold"/>
    <w:basedOn w:val="Bodycopy"/>
    <w:autoRedefine/>
    <w:qFormat/>
    <w:rsid w:val="002528F8"/>
    <w:rPr>
      <w:b/>
      <w:iCs/>
      <w:spacing w:val="3"/>
      <w:lang w:val="en-GB" w:eastAsia="en-GB"/>
    </w:rPr>
  </w:style>
  <w:style w:type="character" w:customStyle="1" w:styleId="HeaderChar">
    <w:name w:val="Header Char"/>
    <w:basedOn w:val="DefaultParagraphFont"/>
    <w:link w:val="Header"/>
    <w:uiPriority w:val="99"/>
    <w:rsid w:val="0028210F"/>
    <w:rPr>
      <w:rFonts w:ascii="Arial" w:hAnsi="Arial"/>
      <w:sz w:val="22"/>
      <w:szCs w:val="22"/>
      <w:lang w:eastAsia="en-AU"/>
    </w:rPr>
  </w:style>
  <w:style w:type="character" w:customStyle="1" w:styleId="FooterChar">
    <w:name w:val="Footer Char"/>
    <w:basedOn w:val="DefaultParagraphFont"/>
    <w:link w:val="Footer"/>
    <w:uiPriority w:val="99"/>
    <w:rsid w:val="0028210F"/>
    <w:rPr>
      <w:rFonts w:ascii="Arial" w:hAnsi="Arial"/>
      <w:sz w:val="22"/>
      <w:szCs w:val="22"/>
      <w:lang w:eastAsia="en-AU"/>
    </w:rPr>
  </w:style>
  <w:style w:type="character" w:styleId="PageNumber">
    <w:name w:val="page number"/>
    <w:basedOn w:val="DefaultParagraphFont"/>
    <w:rsid w:val="0028210F"/>
  </w:style>
  <w:style w:type="paragraph" w:styleId="TOC2">
    <w:name w:val="toc 2"/>
    <w:basedOn w:val="Normal"/>
    <w:next w:val="Normal"/>
    <w:autoRedefine/>
    <w:uiPriority w:val="39"/>
    <w:qFormat/>
    <w:rsid w:val="0028210F"/>
    <w:pPr>
      <w:tabs>
        <w:tab w:val="left" w:pos="660"/>
        <w:tab w:val="right" w:leader="dot" w:pos="9017"/>
      </w:tabs>
      <w:spacing w:before="100" w:after="100"/>
      <w:ind w:left="221"/>
    </w:pPr>
  </w:style>
  <w:style w:type="paragraph" w:styleId="TOC1">
    <w:name w:val="toc 1"/>
    <w:basedOn w:val="Normal"/>
    <w:next w:val="Normal"/>
    <w:autoRedefine/>
    <w:uiPriority w:val="39"/>
    <w:rsid w:val="0028210F"/>
    <w:pPr>
      <w:tabs>
        <w:tab w:val="right" w:leader="dot" w:pos="9016"/>
      </w:tabs>
      <w:spacing w:before="100" w:after="100"/>
    </w:pPr>
  </w:style>
  <w:style w:type="paragraph" w:styleId="TOC3">
    <w:name w:val="toc 3"/>
    <w:basedOn w:val="Normal"/>
    <w:next w:val="Normal"/>
    <w:autoRedefine/>
    <w:uiPriority w:val="39"/>
    <w:qFormat/>
    <w:rsid w:val="0028210F"/>
    <w:pPr>
      <w:spacing w:before="120" w:after="120"/>
      <w:ind w:left="442"/>
    </w:pPr>
  </w:style>
  <w:style w:type="character" w:customStyle="1" w:styleId="Heading1Char">
    <w:name w:val="Heading 1 Char"/>
    <w:basedOn w:val="DefaultParagraphFont"/>
    <w:link w:val="Heading1"/>
    <w:rsid w:val="0028210F"/>
    <w:rPr>
      <w:rFonts w:ascii="Arial" w:hAnsi="Arial" w:cs="Arial"/>
      <w:b/>
      <w:bCs/>
      <w:kern w:val="28"/>
      <w:sz w:val="28"/>
      <w:szCs w:val="28"/>
      <w:lang w:eastAsia="en-AU"/>
    </w:rPr>
  </w:style>
  <w:style w:type="character" w:styleId="Hyperlink">
    <w:name w:val="Hyperlink"/>
    <w:qFormat/>
    <w:rsid w:val="0028210F"/>
    <w:rPr>
      <w:i/>
      <w:color w:val="0000FF"/>
      <w:u w:val="single"/>
    </w:rPr>
  </w:style>
  <w:style w:type="character" w:styleId="Strong">
    <w:name w:val="Strong"/>
    <w:qFormat/>
    <w:rsid w:val="0028210F"/>
    <w:rPr>
      <w:rFonts w:ascii="Arial" w:hAnsi="Arial"/>
      <w:b/>
      <w:bCs/>
      <w:sz w:val="22"/>
    </w:rPr>
  </w:style>
  <w:style w:type="paragraph" w:customStyle="1" w:styleId="SectionAsubsection">
    <w:name w:val="SectionA_subsection"/>
    <w:basedOn w:val="Normal"/>
    <w:autoRedefine/>
    <w:qFormat/>
    <w:rsid w:val="0028210F"/>
    <w:pPr>
      <w:numPr>
        <w:numId w:val="1"/>
      </w:numPr>
      <w:spacing w:before="120" w:after="120"/>
      <w:ind w:left="284" w:hanging="284"/>
    </w:pPr>
    <w:rPr>
      <w:b/>
      <w:szCs w:val="20"/>
      <w:lang w:val="en-AU" w:eastAsia="en-US"/>
    </w:rPr>
  </w:style>
  <w:style w:type="table" w:styleId="TableGrid">
    <w:name w:val="Table Grid"/>
    <w:basedOn w:val="TableNormal"/>
    <w:uiPriority w:val="59"/>
    <w:rsid w:val="0028210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qFormat/>
    <w:rsid w:val="0028210F"/>
    <w:pPr>
      <w:numPr>
        <w:numId w:val="8"/>
      </w:numPr>
      <w:spacing w:before="120" w:after="120"/>
      <w:ind w:left="714" w:hanging="357"/>
    </w:pPr>
    <w:rPr>
      <w:bCs/>
      <w:iCs/>
    </w:rPr>
  </w:style>
  <w:style w:type="paragraph" w:styleId="FootnoteText">
    <w:name w:val="footnote text"/>
    <w:basedOn w:val="Normal"/>
    <w:link w:val="FootnoteTextChar"/>
    <w:rsid w:val="0028210F"/>
    <w:rPr>
      <w:sz w:val="20"/>
    </w:rPr>
  </w:style>
  <w:style w:type="character" w:customStyle="1" w:styleId="FootnoteTextChar">
    <w:name w:val="Footnote Text Char"/>
    <w:basedOn w:val="DefaultParagraphFont"/>
    <w:link w:val="FootnoteText"/>
    <w:rsid w:val="0028210F"/>
    <w:rPr>
      <w:rFonts w:ascii="Arial" w:hAnsi="Arial"/>
      <w:szCs w:val="24"/>
      <w:lang w:val="en-GB" w:eastAsia="en-GB"/>
    </w:rPr>
  </w:style>
  <w:style w:type="character" w:styleId="FootnoteReference">
    <w:name w:val="footnote reference"/>
    <w:rsid w:val="0028210F"/>
    <w:rPr>
      <w:rFonts w:cs="Times New Roman"/>
      <w:vertAlign w:val="superscript"/>
    </w:rPr>
  </w:style>
  <w:style w:type="paragraph" w:customStyle="1" w:styleId="Guidingtext">
    <w:name w:val="Guiding text"/>
    <w:basedOn w:val="Normal"/>
    <w:autoRedefine/>
    <w:qFormat/>
    <w:rsid w:val="000F5776"/>
    <w:rPr>
      <w:rFonts w:cs="Arial"/>
      <w:bCs/>
      <w:iCs/>
      <w:sz w:val="18"/>
      <w:szCs w:val="16"/>
      <w:lang w:val="en-AU" w:eastAsia="en-US"/>
    </w:rPr>
  </w:style>
  <w:style w:type="paragraph" w:customStyle="1" w:styleId="SectionBSubsection">
    <w:name w:val="SectionB_Subsection"/>
    <w:basedOn w:val="Normal"/>
    <w:autoRedefine/>
    <w:qFormat/>
    <w:rsid w:val="0028210F"/>
    <w:pPr>
      <w:numPr>
        <w:numId w:val="2"/>
      </w:numPr>
      <w:spacing w:before="120" w:after="120"/>
    </w:pPr>
    <w:rPr>
      <w:b/>
      <w:szCs w:val="20"/>
      <w:lang w:val="en-AU" w:eastAsia="en-US"/>
    </w:rPr>
  </w:style>
  <w:style w:type="paragraph" w:customStyle="1" w:styleId="SectionBSubsection2">
    <w:name w:val="SectionB_Subsection2"/>
    <w:basedOn w:val="Normal"/>
    <w:next w:val="SectionBSubsection"/>
    <w:autoRedefine/>
    <w:qFormat/>
    <w:rsid w:val="0028210F"/>
    <w:pPr>
      <w:numPr>
        <w:ilvl w:val="1"/>
        <w:numId w:val="2"/>
      </w:numPr>
      <w:spacing w:before="120" w:after="120"/>
      <w:ind w:left="431" w:hanging="357"/>
    </w:pPr>
    <w:rPr>
      <w:b/>
      <w:bCs/>
      <w:szCs w:val="20"/>
      <w:lang w:val="en-AU" w:eastAsia="en-US"/>
    </w:rPr>
  </w:style>
  <w:style w:type="paragraph" w:customStyle="1" w:styleId="Standard">
    <w:name w:val="Standard"/>
    <w:basedOn w:val="Normal"/>
    <w:autoRedefine/>
    <w:qFormat/>
    <w:rsid w:val="0028210F"/>
    <w:pPr>
      <w:spacing w:before="120" w:after="120"/>
    </w:pPr>
    <w:rPr>
      <w:b/>
      <w:iCs/>
      <w:color w:val="0070C0"/>
      <w:szCs w:val="20"/>
      <w:lang w:val="en-AU" w:eastAsia="en-US"/>
    </w:rPr>
  </w:style>
  <w:style w:type="paragraph" w:customStyle="1" w:styleId="Normal1">
    <w:name w:val="Normal1"/>
    <w:rsid w:val="0028210F"/>
    <w:rPr>
      <w:color w:val="000000"/>
      <w:sz w:val="24"/>
      <w:szCs w:val="24"/>
      <w:lang w:val="en-US" w:eastAsia="ja-JP"/>
    </w:rPr>
  </w:style>
  <w:style w:type="paragraph" w:customStyle="1" w:styleId="SectionCsubsection">
    <w:name w:val="SectionC_subsection"/>
    <w:basedOn w:val="Normal"/>
    <w:autoRedefine/>
    <w:qFormat/>
    <w:rsid w:val="0028210F"/>
    <w:pPr>
      <w:spacing w:before="120" w:after="120"/>
    </w:pPr>
    <w:rPr>
      <w:rFonts w:cs="Arial"/>
      <w:b/>
      <w:bCs/>
      <w:iCs/>
      <w:szCs w:val="22"/>
      <w:lang w:val="en-AU" w:eastAsia="en-US"/>
    </w:rPr>
  </w:style>
  <w:style w:type="paragraph" w:customStyle="1" w:styleId="Unitexplanatorytext">
    <w:name w:val="Unit explanatory text"/>
    <w:basedOn w:val="Normal"/>
    <w:autoRedefine/>
    <w:qFormat/>
    <w:rsid w:val="0028210F"/>
    <w:pPr>
      <w:spacing w:before="120" w:after="120"/>
    </w:pPr>
    <w:rPr>
      <w:i/>
      <w:sz w:val="18"/>
      <w:szCs w:val="20"/>
      <w:lang w:val="en-AU" w:eastAsia="en-US"/>
    </w:rPr>
  </w:style>
  <w:style w:type="paragraph" w:styleId="ListBullet2">
    <w:name w:val="List Bullet 2"/>
    <w:basedOn w:val="Normal"/>
    <w:qFormat/>
    <w:rsid w:val="0028210F"/>
    <w:pPr>
      <w:numPr>
        <w:numId w:val="9"/>
      </w:numPr>
      <w:contextualSpacing/>
    </w:pPr>
  </w:style>
  <w:style w:type="paragraph" w:customStyle="1" w:styleId="ListBullet-2">
    <w:name w:val="List Bullet - 2"/>
    <w:basedOn w:val="ListBullet2"/>
    <w:next w:val="ListBullet2"/>
    <w:qFormat/>
    <w:rsid w:val="0028210F"/>
    <w:pPr>
      <w:tabs>
        <w:tab w:val="clear" w:pos="643"/>
        <w:tab w:val="left" w:pos="720"/>
      </w:tabs>
      <w:spacing w:before="120" w:after="120"/>
      <w:ind w:left="1077" w:hanging="357"/>
    </w:pPr>
  </w:style>
  <w:style w:type="character" w:styleId="CommentReference">
    <w:name w:val="annotation reference"/>
    <w:basedOn w:val="DefaultParagraphFont"/>
    <w:rsid w:val="002528F8"/>
    <w:rPr>
      <w:sz w:val="16"/>
      <w:szCs w:val="16"/>
    </w:rPr>
  </w:style>
  <w:style w:type="paragraph" w:styleId="CommentText">
    <w:name w:val="annotation text"/>
    <w:basedOn w:val="Normal"/>
    <w:link w:val="CommentTextChar"/>
    <w:rsid w:val="002528F8"/>
    <w:rPr>
      <w:sz w:val="20"/>
      <w:szCs w:val="20"/>
    </w:rPr>
  </w:style>
  <w:style w:type="character" w:customStyle="1" w:styleId="CommentTextChar">
    <w:name w:val="Comment Text Char"/>
    <w:basedOn w:val="DefaultParagraphFont"/>
    <w:link w:val="CommentText"/>
    <w:rsid w:val="002528F8"/>
    <w:rPr>
      <w:rFonts w:ascii="Arial" w:hAnsi="Arial"/>
      <w:lang w:val="en-GB" w:eastAsia="en-GB"/>
    </w:rPr>
  </w:style>
  <w:style w:type="paragraph" w:styleId="CommentSubject">
    <w:name w:val="annotation subject"/>
    <w:basedOn w:val="CommentText"/>
    <w:next w:val="CommentText"/>
    <w:link w:val="CommentSubjectChar"/>
    <w:semiHidden/>
    <w:unhideWhenUsed/>
    <w:rsid w:val="002528F8"/>
    <w:rPr>
      <w:b/>
      <w:bCs/>
    </w:rPr>
  </w:style>
  <w:style w:type="character" w:customStyle="1" w:styleId="CommentSubjectChar">
    <w:name w:val="Comment Subject Char"/>
    <w:basedOn w:val="CommentTextChar"/>
    <w:link w:val="CommentSubject"/>
    <w:semiHidden/>
    <w:rsid w:val="002528F8"/>
    <w:rPr>
      <w:rFonts w:ascii="Arial" w:hAnsi="Arial"/>
      <w:b/>
      <w:bCs/>
      <w:lang w:val="en-GB" w:eastAsia="en-GB"/>
    </w:rPr>
  </w:style>
  <w:style w:type="paragraph" w:styleId="BalloonText">
    <w:name w:val="Balloon Text"/>
    <w:basedOn w:val="Normal"/>
    <w:link w:val="BalloonTextChar"/>
    <w:semiHidden/>
    <w:unhideWhenUsed/>
    <w:rsid w:val="005E1CE8"/>
    <w:rPr>
      <w:rFonts w:ascii="Segoe UI" w:hAnsi="Segoe UI" w:cs="Segoe UI"/>
      <w:sz w:val="18"/>
      <w:szCs w:val="18"/>
    </w:rPr>
  </w:style>
  <w:style w:type="character" w:customStyle="1" w:styleId="BalloonTextChar">
    <w:name w:val="Balloon Text Char"/>
    <w:basedOn w:val="DefaultParagraphFont"/>
    <w:link w:val="BalloonText"/>
    <w:semiHidden/>
    <w:rsid w:val="005E1CE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bs.gov.au/AUSSTATS/abs@.nsf/DetailsPage/1220.0First%20Edition,%20Revision%201?OpenDocumen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aqf.edu.au/" TargetMode="External"/><Relationship Id="rId34"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creativecommons.org/licenses/by-nd/3.0/a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d/3.0/au/" TargetMode="External"/><Relationship Id="rId24" Type="http://schemas.openxmlformats.org/officeDocument/2006/relationships/hyperlink" Target="https://www.aqf.edu.au/publication/aqf-qualifications-pathways-policy"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mailto:teresa.signorello@holmesglen.edu.au" TargetMode="External"/><Relationship Id="rId23" Type="http://schemas.openxmlformats.org/officeDocument/2006/relationships/hyperlink" Target="https://www.dese.gov.au/skills-information-training-providers/resources/australian-core-skills-framewor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urse.enquiry@education.vic.gov.au" TargetMode="External"/><Relationship Id="rId22" Type="http://schemas.openxmlformats.org/officeDocument/2006/relationships/hyperlink" Target="https://www.dese.gov.au/skills-information-training-providers/resources/australian-core-skills-framework" TargetMode="External"/><Relationship Id="rId27" Type="http://schemas.openxmlformats.org/officeDocument/2006/relationships/header" Target="header5.xml"/><Relationship Id="rId30" Type="http://schemas.microsoft.com/office/2018/08/relationships/commentsExtensible" Target="commentsExtensi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acktobasics.edu.au/2019/03/construction-industry-facts/" TargetMode="External"/><Relationship Id="rId2" Type="http://schemas.openxmlformats.org/officeDocument/2006/relationships/hyperlink" Target="https://www.nationalskillscommission.gov.au/jobs-industry" TargetMode="External"/><Relationship Id="rId1" Type="http://schemas.openxmlformats.org/officeDocument/2006/relationships/hyperlink" Target="https://esv.vic.gov.au/about-esv/corporate-information/about-esv/" TargetMode="External"/><Relationship Id="rId6" Type="http://schemas.openxmlformats.org/officeDocument/2006/relationships/hyperlink" Target="https://nationalindustryinsights.aisc.net.au/industries/construction" TargetMode="External"/><Relationship Id="rId5" Type="http://schemas.openxmlformats.org/officeDocument/2006/relationships/hyperlink" Target="https://www.safeworkaustralia.gov.au/system/files/documents/2002/work_related_traumatic_injury_fatalities_report_2018.pdf" TargetMode="External"/><Relationship Id="rId4" Type="http://schemas.openxmlformats.org/officeDocument/2006/relationships/hyperlink" Target="https://esv.vic.gov.au/wp-content/uploads/2019/02/2017-18-ESV_Annu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selle_ar\AppData\Local\Temp\Templafy\WordVsto\co0o3w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Holmesglen generic blank","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Final_22597VIC_Course_in_Workplace_Spotting_for_Service_Assets_160522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65BDDC9-7E46-4D3C-B90D-067A80FEE8B8}">
  <ds:schemaRefs/>
</ds:datastoreItem>
</file>

<file path=customXml/itemProps2.xml><?xml version="1.0" encoding="utf-8"?>
<ds:datastoreItem xmlns:ds="http://schemas.openxmlformats.org/officeDocument/2006/customXml" ds:itemID="{09D9B021-941A-4DED-96B1-97B5BD86D37B}">
  <ds:schemaRefs/>
</ds:datastoreItem>
</file>

<file path=customXml/itemProps3.xml><?xml version="1.0" encoding="utf-8"?>
<ds:datastoreItem xmlns:ds="http://schemas.openxmlformats.org/officeDocument/2006/customXml" ds:itemID="{8D6C2B62-55C4-4BDB-BB09-12BB64DB80D8}">
  <ds:schemaRefs>
    <ds:schemaRef ds:uri="http://schemas.openxmlformats.org/officeDocument/2006/bibliography"/>
  </ds:schemaRefs>
</ds:datastoreItem>
</file>

<file path=customXml/itemProps4.xml><?xml version="1.0" encoding="utf-8"?>
<ds:datastoreItem xmlns:ds="http://schemas.openxmlformats.org/officeDocument/2006/customXml" ds:itemID="{26716AD9-C877-4A01-9F2E-32D40F7DFBA4}"/>
</file>

<file path=customXml/itemProps5.xml><?xml version="1.0" encoding="utf-8"?>
<ds:datastoreItem xmlns:ds="http://schemas.openxmlformats.org/officeDocument/2006/customXml" ds:itemID="{1065D32A-8D5A-4F61-9AD0-DAEEC3CB3D44}"/>
</file>

<file path=customXml/itemProps6.xml><?xml version="1.0" encoding="utf-8"?>
<ds:datastoreItem xmlns:ds="http://schemas.openxmlformats.org/officeDocument/2006/customXml" ds:itemID="{B0478ABB-5B2B-4D57-940F-004E5753BA6C}"/>
</file>

<file path=docProps/app.xml><?xml version="1.0" encoding="utf-8"?>
<Properties xmlns="http://schemas.openxmlformats.org/officeDocument/2006/extended-properties" xmlns:vt="http://schemas.openxmlformats.org/officeDocument/2006/docPropsVTypes">
  <Template>co0o3wae.dotx</Template>
  <TotalTime>7</TotalTime>
  <Pages>27</Pages>
  <Words>5832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Holmesglen TAFE</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 Arancio</dc:creator>
  <cp:keywords/>
  <dc:description/>
  <cp:lastModifiedBy>TSD</cp:lastModifiedBy>
  <cp:revision>5</cp:revision>
  <dcterms:created xsi:type="dcterms:W3CDTF">2022-05-16T10:27:00Z</dcterms:created>
  <dcterms:modified xsi:type="dcterms:W3CDTF">2022-05-16T10:34:00Z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holmesglen</vt:lpwstr>
  </property>
  <property fmtid="{D5CDD505-2E9C-101B-9397-08002B2CF9AE}" pid="3" name="TemplafyTemplateId">
    <vt:lpwstr>637673505945172807</vt:lpwstr>
  </property>
  <property fmtid="{D5CDD505-2E9C-101B-9397-08002B2CF9AE}" pid="4" name="TemplafyUserProfileId">
    <vt:lpwstr>637623606562952333</vt:lpwstr>
  </property>
  <property fmtid="{D5CDD505-2E9C-101B-9397-08002B2CF9AE}" pid="5" name="TemplafyFromBlank">
    <vt:bool>true</vt:bool>
  </property>
  <property fmtid="{D5CDD505-2E9C-101B-9397-08002B2CF9AE}" pid="6" name="ContentTypeId">
    <vt:lpwstr>0x0101008840106FE30D4F50BC61A726A7CA6E3800A01D47DD30CBB54F95863B7DC80A2CEC</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ECD_Audience">
    <vt:lpwstr/>
  </property>
</Properties>
</file>